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ADA9" w14:textId="684A42A6" w:rsidR="00670176" w:rsidRPr="00A11DAA" w:rsidRDefault="00670176" w:rsidP="00670176">
      <w:pPr>
        <w:spacing w:line="360" w:lineRule="auto"/>
        <w:jc w:val="both"/>
        <w:rPr>
          <w:rFonts w:asciiTheme="minorHAnsi" w:hAnsiTheme="minorHAnsi"/>
          <w:b/>
          <w:bCs/>
          <w:u w:val="single"/>
        </w:rPr>
      </w:pPr>
      <w:r w:rsidRPr="00A11DAA">
        <w:rPr>
          <w:rFonts w:asciiTheme="minorHAnsi" w:hAnsiTheme="minorHAnsi"/>
          <w:b/>
          <w:bCs/>
          <w:u w:val="single"/>
        </w:rPr>
        <w:t>RE: LAND TO THE SOUTH OF RINGWOOD ROAD, ALDERHOLT</w:t>
      </w:r>
    </w:p>
    <w:p w14:paraId="5AC9E6C3" w14:textId="77777777" w:rsidR="00670176" w:rsidRPr="00A11DAA" w:rsidRDefault="00670176" w:rsidP="00670176">
      <w:pPr>
        <w:spacing w:line="360" w:lineRule="auto"/>
        <w:jc w:val="both"/>
        <w:rPr>
          <w:rFonts w:asciiTheme="minorHAnsi" w:hAnsiTheme="minorHAnsi"/>
          <w:b/>
          <w:bCs/>
          <w:u w:val="single"/>
        </w:rPr>
      </w:pPr>
    </w:p>
    <w:p w14:paraId="0EA6B3CA" w14:textId="77777777" w:rsidR="00670176" w:rsidRPr="00A11DAA" w:rsidRDefault="00670176" w:rsidP="00670176">
      <w:pPr>
        <w:spacing w:line="360" w:lineRule="auto"/>
        <w:jc w:val="center"/>
        <w:rPr>
          <w:rFonts w:asciiTheme="minorHAnsi" w:hAnsiTheme="minorHAnsi"/>
          <w:b/>
          <w:bCs/>
          <w:u w:val="single"/>
        </w:rPr>
      </w:pP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p>
    <w:p w14:paraId="2C4C03E8" w14:textId="77777777" w:rsidR="00670176" w:rsidRPr="00A11DAA" w:rsidRDefault="00670176" w:rsidP="00670176">
      <w:pPr>
        <w:spacing w:line="360" w:lineRule="auto"/>
        <w:jc w:val="center"/>
        <w:rPr>
          <w:rFonts w:asciiTheme="minorHAnsi" w:hAnsiTheme="minorHAnsi"/>
          <w:b/>
          <w:bCs/>
        </w:rPr>
      </w:pPr>
      <w:r w:rsidRPr="00A11DAA">
        <w:rPr>
          <w:rFonts w:asciiTheme="minorHAnsi" w:hAnsiTheme="minorHAnsi"/>
          <w:b/>
          <w:bCs/>
        </w:rPr>
        <w:t>OPENING SUBMISSIONS</w:t>
      </w:r>
    </w:p>
    <w:p w14:paraId="7B3EA59B" w14:textId="28B85010" w:rsidR="00670176" w:rsidRPr="00A11DAA" w:rsidRDefault="00670176" w:rsidP="00670176">
      <w:pPr>
        <w:spacing w:line="360" w:lineRule="auto"/>
        <w:jc w:val="center"/>
        <w:rPr>
          <w:rFonts w:asciiTheme="minorHAnsi" w:hAnsiTheme="minorHAnsi"/>
          <w:b/>
          <w:bCs/>
        </w:rPr>
      </w:pPr>
      <w:r w:rsidRPr="00A11DAA">
        <w:rPr>
          <w:rFonts w:asciiTheme="minorHAnsi" w:hAnsiTheme="minorHAnsi"/>
          <w:b/>
          <w:bCs/>
        </w:rPr>
        <w:t xml:space="preserve">On behalf of Dorset Council </w:t>
      </w:r>
    </w:p>
    <w:p w14:paraId="3167F9C8" w14:textId="2C1197B6" w:rsidR="006038F1" w:rsidRPr="00A11DAA" w:rsidRDefault="00445445" w:rsidP="00670176">
      <w:pPr>
        <w:spacing w:line="360" w:lineRule="auto"/>
        <w:jc w:val="center"/>
        <w:rPr>
          <w:rFonts w:asciiTheme="minorHAnsi" w:hAnsiTheme="minorHAnsi"/>
          <w:b/>
          <w:bCs/>
        </w:rPr>
      </w:pPr>
      <w:r w:rsidRPr="00A11DAA">
        <w:rPr>
          <w:rFonts w:asciiTheme="minorHAnsi" w:hAnsiTheme="minorHAnsi"/>
          <w:b/>
          <w:bCs/>
        </w:rPr>
        <w:t>25</w:t>
      </w:r>
      <w:r w:rsidRPr="00A11DAA">
        <w:rPr>
          <w:rFonts w:asciiTheme="minorHAnsi" w:hAnsiTheme="minorHAnsi"/>
          <w:b/>
          <w:bCs/>
          <w:vertAlign w:val="superscript"/>
        </w:rPr>
        <w:t xml:space="preserve"> </w:t>
      </w:r>
      <w:r w:rsidRPr="00A11DAA">
        <w:rPr>
          <w:rFonts w:asciiTheme="minorHAnsi" w:hAnsiTheme="minorHAnsi"/>
          <w:b/>
          <w:bCs/>
        </w:rPr>
        <w:t>June 2024</w:t>
      </w:r>
    </w:p>
    <w:p w14:paraId="77FA05EB" w14:textId="77777777" w:rsidR="00670176" w:rsidRPr="00A11DAA" w:rsidRDefault="00670176" w:rsidP="00670176">
      <w:pPr>
        <w:spacing w:line="360" w:lineRule="auto"/>
        <w:jc w:val="center"/>
        <w:rPr>
          <w:rFonts w:asciiTheme="minorHAnsi" w:hAnsiTheme="minorHAnsi"/>
          <w:b/>
          <w:bCs/>
          <w:u w:val="single"/>
        </w:rPr>
      </w:pP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r w:rsidRPr="00A11DAA">
        <w:rPr>
          <w:rFonts w:asciiTheme="minorHAnsi" w:hAnsiTheme="minorHAnsi"/>
          <w:b/>
          <w:bCs/>
          <w:u w:val="single"/>
        </w:rPr>
        <w:tab/>
      </w:r>
    </w:p>
    <w:p w14:paraId="44AB4A89" w14:textId="77777777" w:rsidR="002D583E" w:rsidRPr="00A11DAA" w:rsidRDefault="002D583E">
      <w:pPr>
        <w:rPr>
          <w:rFonts w:asciiTheme="minorHAnsi" w:hAnsiTheme="minorHAnsi"/>
          <w:b/>
          <w:bCs/>
          <w:u w:val="single"/>
        </w:rPr>
      </w:pPr>
    </w:p>
    <w:p w14:paraId="7E2EA758" w14:textId="03BD0FF2" w:rsidR="002D583E" w:rsidRPr="00A11DAA" w:rsidRDefault="0073035B">
      <w:pPr>
        <w:rPr>
          <w:rFonts w:asciiTheme="minorHAnsi" w:hAnsiTheme="minorHAnsi"/>
          <w:b/>
          <w:bCs/>
          <w:u w:val="single"/>
        </w:rPr>
      </w:pPr>
      <w:r w:rsidRPr="00A11DAA">
        <w:rPr>
          <w:rFonts w:asciiTheme="minorHAnsi" w:hAnsiTheme="minorHAnsi"/>
          <w:b/>
          <w:bCs/>
          <w:u w:val="single"/>
        </w:rPr>
        <w:t>Introduction</w:t>
      </w:r>
    </w:p>
    <w:p w14:paraId="7463F7E3" w14:textId="77777777" w:rsidR="0073035B" w:rsidRPr="00A11DAA" w:rsidRDefault="0073035B">
      <w:pPr>
        <w:rPr>
          <w:rFonts w:asciiTheme="minorHAnsi" w:hAnsiTheme="minorHAnsi"/>
        </w:rPr>
      </w:pPr>
    </w:p>
    <w:p w14:paraId="6790A2DC" w14:textId="53988527" w:rsidR="00445445" w:rsidRPr="00A11DAA" w:rsidRDefault="00445445" w:rsidP="005903BF">
      <w:pPr>
        <w:pStyle w:val="ListParagraph"/>
        <w:numPr>
          <w:ilvl w:val="0"/>
          <w:numId w:val="12"/>
        </w:numPr>
        <w:spacing w:line="360" w:lineRule="auto"/>
        <w:jc w:val="both"/>
        <w:rPr>
          <w:rFonts w:asciiTheme="minorHAnsi" w:hAnsiTheme="minorHAnsi"/>
        </w:rPr>
      </w:pPr>
      <w:r w:rsidRPr="00A11DAA">
        <w:rPr>
          <w:rFonts w:asciiTheme="minorHAnsi" w:hAnsiTheme="minorHAnsi" w:cs="Calibri"/>
        </w:rPr>
        <w:t>These opening submissions on behalf of the local planning authority Dorset Council (“the Council”) address the Main Issues in the appeal, as identified by the Inspector,</w:t>
      </w:r>
      <w:r w:rsidRPr="00A11DAA">
        <w:rPr>
          <w:rStyle w:val="FootnoteReference"/>
          <w:rFonts w:asciiTheme="minorHAnsi" w:hAnsiTheme="minorHAnsi" w:cs="Calibri"/>
        </w:rPr>
        <w:footnoteReference w:id="1"/>
      </w:r>
      <w:r w:rsidRPr="00A11DAA">
        <w:rPr>
          <w:rFonts w:asciiTheme="minorHAnsi" w:hAnsiTheme="minorHAnsi" w:cs="Calibri"/>
        </w:rPr>
        <w:t xml:space="preserve"> together with the other issues arising in the Reasons for Refusal, in </w:t>
      </w:r>
      <w:r w:rsidRPr="00A11DAA">
        <w:rPr>
          <w:rFonts w:asciiTheme="minorHAnsi" w:hAnsiTheme="minorHAnsi"/>
        </w:rPr>
        <w:t>order to provide an overview of the Council’s case.</w:t>
      </w:r>
    </w:p>
    <w:p w14:paraId="3304983E" w14:textId="77777777" w:rsidR="005903BF" w:rsidRPr="00A11DAA" w:rsidRDefault="005903BF" w:rsidP="005903BF">
      <w:pPr>
        <w:pStyle w:val="ListParagraph"/>
        <w:spacing w:line="360" w:lineRule="auto"/>
        <w:jc w:val="both"/>
        <w:rPr>
          <w:rFonts w:asciiTheme="minorHAnsi" w:hAnsiTheme="minorHAnsi"/>
        </w:rPr>
      </w:pPr>
    </w:p>
    <w:p w14:paraId="182376CD" w14:textId="3F7BD5B7" w:rsidR="00445445" w:rsidRPr="00A11DAA" w:rsidRDefault="00445445" w:rsidP="00D33B9D">
      <w:pPr>
        <w:pStyle w:val="ListParagraph"/>
        <w:numPr>
          <w:ilvl w:val="0"/>
          <w:numId w:val="12"/>
        </w:numPr>
        <w:spacing w:line="360" w:lineRule="auto"/>
        <w:jc w:val="both"/>
        <w:rPr>
          <w:rFonts w:asciiTheme="minorHAnsi" w:hAnsiTheme="minorHAnsi"/>
        </w:rPr>
      </w:pPr>
      <w:r w:rsidRPr="00A11DAA">
        <w:rPr>
          <w:rFonts w:asciiTheme="minorHAnsi" w:hAnsiTheme="minorHAnsi"/>
        </w:rPr>
        <w:t xml:space="preserve">There are many unresolved issues in the </w:t>
      </w:r>
      <w:r w:rsidR="00A501AC" w:rsidRPr="00A11DAA">
        <w:rPr>
          <w:rFonts w:asciiTheme="minorHAnsi" w:hAnsiTheme="minorHAnsi"/>
        </w:rPr>
        <w:t>appeal, as the Inspector has noted</w:t>
      </w:r>
      <w:r w:rsidRPr="00A11DAA">
        <w:rPr>
          <w:rFonts w:asciiTheme="minorHAnsi" w:hAnsiTheme="minorHAnsi"/>
        </w:rPr>
        <w:t xml:space="preserve">. Notwithstanding the fact that the appeal site is not allocated, and notwithstanding the scale and complexity of the proposal, the Appellant </w:t>
      </w:r>
      <w:r w:rsidR="00A97315" w:rsidRPr="00A11DAA">
        <w:rPr>
          <w:rFonts w:asciiTheme="minorHAnsi" w:hAnsiTheme="minorHAnsi"/>
        </w:rPr>
        <w:t xml:space="preserve">opted not to </w:t>
      </w:r>
      <w:r w:rsidR="00D33B9D" w:rsidRPr="00A11DAA">
        <w:rPr>
          <w:rFonts w:asciiTheme="minorHAnsi" w:hAnsiTheme="minorHAnsi"/>
        </w:rPr>
        <w:t xml:space="preserve">take </w:t>
      </w:r>
      <w:r w:rsidR="00A97315" w:rsidRPr="00A11DAA">
        <w:rPr>
          <w:rFonts w:asciiTheme="minorHAnsi" w:hAnsiTheme="minorHAnsi"/>
        </w:rPr>
        <w:t>formal, paid, pre-application advice prior to the submission of the planning application</w:t>
      </w:r>
      <w:r w:rsidR="009A3088" w:rsidRPr="00A11DAA">
        <w:rPr>
          <w:rFonts w:asciiTheme="minorHAnsi" w:hAnsiTheme="minorHAnsi"/>
        </w:rPr>
        <w:t>, which was available to them</w:t>
      </w:r>
      <w:r w:rsidR="00A97315" w:rsidRPr="00A11DAA">
        <w:rPr>
          <w:rFonts w:asciiTheme="minorHAnsi" w:hAnsiTheme="minorHAnsi"/>
        </w:rPr>
        <w:t xml:space="preserve">. </w:t>
      </w:r>
      <w:r w:rsidRPr="00A11DAA">
        <w:rPr>
          <w:rFonts w:asciiTheme="minorHAnsi" w:hAnsiTheme="minorHAnsi"/>
        </w:rPr>
        <w:t>The Council determined the application without granting any extension of time, on the basis that this was its general policy where the pre-application process had not been followed.</w:t>
      </w:r>
      <w:r w:rsidRPr="00A11DAA">
        <w:rPr>
          <w:rStyle w:val="FootnoteReference"/>
          <w:rFonts w:asciiTheme="minorHAnsi" w:hAnsiTheme="minorHAnsi"/>
        </w:rPr>
        <w:footnoteReference w:id="2"/>
      </w:r>
      <w:r w:rsidRPr="00A11DAA">
        <w:rPr>
          <w:rFonts w:asciiTheme="minorHAnsi" w:hAnsiTheme="minorHAnsi"/>
        </w:rPr>
        <w:t xml:space="preserve"> Despite the very many unresolved technical issues, the Appellant brought an appeal rather than re-submit its application. It attempted negotiation between the refusal and the bringing of an appeal (although at that point the Council was not seized of any application). It brought its appeal on the basis of what it understood to be an entitlement to “negotiations with the LPA on many of the matters in the reasons for refusal”.</w:t>
      </w:r>
      <w:r w:rsidRPr="00A11DAA">
        <w:rPr>
          <w:rStyle w:val="FootnoteReference"/>
          <w:rFonts w:asciiTheme="minorHAnsi" w:hAnsiTheme="minorHAnsi"/>
        </w:rPr>
        <w:footnoteReference w:id="3"/>
      </w:r>
      <w:r w:rsidRPr="00A11DAA">
        <w:rPr>
          <w:rFonts w:asciiTheme="minorHAnsi" w:hAnsiTheme="minorHAnsi"/>
        </w:rPr>
        <w:t xml:space="preserve"> The Appellant’s evidence has sought to blame others for the predicament it is in in terms of the extent of unresolved issues, but </w:t>
      </w:r>
      <w:r w:rsidR="00AC0C86" w:rsidRPr="00A11DAA">
        <w:rPr>
          <w:rFonts w:asciiTheme="minorHAnsi" w:hAnsiTheme="minorHAnsi"/>
        </w:rPr>
        <w:t>the real cause is the course it set for itself. A</w:t>
      </w:r>
      <w:r w:rsidRPr="00A11DAA">
        <w:rPr>
          <w:rFonts w:asciiTheme="minorHAnsi" w:hAnsiTheme="minorHAnsi"/>
        </w:rPr>
        <w:t xml:space="preserve">s the Inspector will have </w:t>
      </w:r>
      <w:r w:rsidR="00A501AC" w:rsidRPr="00A11DAA">
        <w:rPr>
          <w:rFonts w:asciiTheme="minorHAnsi" w:hAnsiTheme="minorHAnsi"/>
        </w:rPr>
        <w:t xml:space="preserve">seen </w:t>
      </w:r>
      <w:r w:rsidRPr="00A11DAA">
        <w:rPr>
          <w:rFonts w:asciiTheme="minorHAnsi" w:hAnsiTheme="minorHAnsi"/>
        </w:rPr>
        <w:t xml:space="preserve">from </w:t>
      </w:r>
      <w:r w:rsidR="00A501AC" w:rsidRPr="00A11DAA">
        <w:rPr>
          <w:rFonts w:asciiTheme="minorHAnsi" w:hAnsiTheme="minorHAnsi"/>
        </w:rPr>
        <w:t xml:space="preserve">the evidence, </w:t>
      </w:r>
      <w:r w:rsidR="00A501AC" w:rsidRPr="00A11DAA">
        <w:rPr>
          <w:rFonts w:asciiTheme="minorHAnsi" w:hAnsiTheme="minorHAnsi"/>
        </w:rPr>
        <w:lastRenderedPageBreak/>
        <w:t xml:space="preserve">from </w:t>
      </w:r>
      <w:r w:rsidRPr="00A11DAA">
        <w:rPr>
          <w:rFonts w:asciiTheme="minorHAnsi" w:hAnsiTheme="minorHAnsi"/>
        </w:rPr>
        <w:t>correspondence and from discussions at the CMC, though the Appellant ought to have been in a position to rely on the information available as at the date it brought its appeal,</w:t>
      </w:r>
      <w:r w:rsidRPr="00A11DAA">
        <w:rPr>
          <w:rStyle w:val="FootnoteReference"/>
          <w:rFonts w:asciiTheme="minorHAnsi" w:hAnsiTheme="minorHAnsi"/>
        </w:rPr>
        <w:footnoteReference w:id="4"/>
      </w:r>
      <w:r w:rsidRPr="00A11DAA">
        <w:rPr>
          <w:rFonts w:asciiTheme="minorHAnsi" w:hAnsiTheme="minorHAnsi"/>
        </w:rPr>
        <w:t xml:space="preserve"> it has submitted new and extensive additional analysis and information since then. Even so, numerous well-founded objections and concerns remain. </w:t>
      </w:r>
    </w:p>
    <w:p w14:paraId="13575FE8" w14:textId="77777777" w:rsidR="00445445" w:rsidRPr="00A11DAA" w:rsidRDefault="00445445" w:rsidP="00C3692E">
      <w:pPr>
        <w:pStyle w:val="ListParagraph"/>
        <w:spacing w:line="360" w:lineRule="auto"/>
        <w:jc w:val="both"/>
        <w:rPr>
          <w:rFonts w:asciiTheme="minorHAnsi" w:hAnsiTheme="minorHAnsi"/>
        </w:rPr>
      </w:pPr>
    </w:p>
    <w:p w14:paraId="3683831A" w14:textId="4A920924" w:rsidR="00445445" w:rsidRPr="00A11DAA" w:rsidRDefault="00445445" w:rsidP="005903BF">
      <w:pPr>
        <w:pStyle w:val="ListParagraph"/>
        <w:numPr>
          <w:ilvl w:val="0"/>
          <w:numId w:val="12"/>
        </w:numPr>
        <w:spacing w:line="360" w:lineRule="auto"/>
        <w:jc w:val="both"/>
        <w:rPr>
          <w:rFonts w:asciiTheme="minorHAnsi" w:hAnsiTheme="minorHAnsi"/>
        </w:rPr>
      </w:pPr>
      <w:r w:rsidRPr="00A11DAA">
        <w:rPr>
          <w:rFonts w:asciiTheme="minorHAnsi" w:hAnsiTheme="minorHAnsi"/>
        </w:rPr>
        <w:t>The appeal proposal is the wrong size, in the wrong place. It is located next to Alderholt, a relatively remote Dorset village between Salisbury and Bournemouth. Alderholt consists of just over 1,300 households</w:t>
      </w:r>
      <w:r w:rsidRPr="00A11DAA">
        <w:rPr>
          <w:rStyle w:val="FootnoteReference"/>
          <w:rFonts w:asciiTheme="minorHAnsi" w:hAnsiTheme="minorHAnsi"/>
        </w:rPr>
        <w:footnoteReference w:id="5"/>
      </w:r>
      <w:r w:rsidRPr="00A11DAA">
        <w:rPr>
          <w:rFonts w:asciiTheme="minorHAnsi" w:hAnsiTheme="minorHAnsi"/>
        </w:rPr>
        <w:t>. The scale of the appeal proposal can be understood in that context: it would more than double the number of households in the village. The Appellant’s transport evidence says that in transport terms, Alderholt is “not sustainable”.</w:t>
      </w:r>
      <w:r w:rsidRPr="00A11DAA">
        <w:rPr>
          <w:rStyle w:val="FootnoteReference"/>
          <w:rFonts w:asciiTheme="minorHAnsi" w:hAnsiTheme="minorHAnsi"/>
        </w:rPr>
        <w:footnoteReference w:id="6"/>
      </w:r>
      <w:r w:rsidRPr="00A11DAA">
        <w:rPr>
          <w:rFonts w:asciiTheme="minorHAnsi" w:hAnsiTheme="minorHAnsi"/>
        </w:rPr>
        <w:t xml:space="preserve"> This is reflected in its identification as “a rural service centre” (fourth tier) in the adopted settlement hierarchy, a hierarchy settled on the basis of which settlements “provide the best access to services, facilities and employment”.</w:t>
      </w:r>
      <w:r w:rsidR="004732C9" w:rsidRPr="00A11DAA">
        <w:rPr>
          <w:rStyle w:val="FootnoteReference"/>
          <w:rFonts w:asciiTheme="minorHAnsi" w:hAnsiTheme="minorHAnsi"/>
        </w:rPr>
        <w:footnoteReference w:id="7"/>
      </w:r>
      <w:r w:rsidR="004732C9" w:rsidRPr="00A11DAA">
        <w:rPr>
          <w:rFonts w:asciiTheme="minorHAnsi" w:hAnsiTheme="minorHAnsi"/>
        </w:rPr>
        <w:t xml:space="preserve"> </w:t>
      </w:r>
    </w:p>
    <w:p w14:paraId="6E4955AF" w14:textId="77777777" w:rsidR="00445445" w:rsidRPr="00A11DAA" w:rsidRDefault="00445445" w:rsidP="00445445">
      <w:pPr>
        <w:pStyle w:val="ListParagraph"/>
        <w:rPr>
          <w:rFonts w:asciiTheme="minorHAnsi" w:hAnsiTheme="minorHAnsi"/>
        </w:rPr>
      </w:pPr>
    </w:p>
    <w:p w14:paraId="1F91303E" w14:textId="40B569F8" w:rsidR="00445445" w:rsidRPr="00A11DAA" w:rsidRDefault="00445445" w:rsidP="005903BF">
      <w:pPr>
        <w:pStyle w:val="ListParagraph"/>
        <w:numPr>
          <w:ilvl w:val="0"/>
          <w:numId w:val="12"/>
        </w:numPr>
        <w:spacing w:line="360" w:lineRule="auto"/>
        <w:jc w:val="both"/>
        <w:rPr>
          <w:rFonts w:asciiTheme="minorHAnsi" w:hAnsiTheme="minorHAnsi"/>
        </w:rPr>
      </w:pPr>
      <w:r w:rsidRPr="00A11DAA">
        <w:rPr>
          <w:rFonts w:asciiTheme="minorHAnsi" w:hAnsiTheme="minorHAnsi"/>
        </w:rPr>
        <w:t>At the time the appeal was brought in November 2023, a large scale development “option” at Alderholt had been considered in the then emerging Draft Dorset Council Local Plan (“DDCLP”). But that local plan process is not being progressed and instead a new plan is being produced, as a new style local plan.</w:t>
      </w:r>
      <w:r w:rsidRPr="00A11DAA">
        <w:rPr>
          <w:rStyle w:val="FootnoteReference"/>
          <w:rFonts w:asciiTheme="minorHAnsi" w:hAnsiTheme="minorHAnsi"/>
        </w:rPr>
        <w:footnoteReference w:id="8"/>
      </w:r>
      <w:r w:rsidRPr="00A11DAA">
        <w:rPr>
          <w:rFonts w:asciiTheme="minorHAnsi" w:hAnsiTheme="minorHAnsi"/>
        </w:rPr>
        <w:t xml:space="preserve"> Hence Dorset is agreed not to be a “4-year” authority in housing land supply terms, and hence the agreement between the parties that “no weight” can be applied to the </w:t>
      </w:r>
      <w:r w:rsidRPr="00A11DAA">
        <w:rPr>
          <w:rFonts w:asciiTheme="minorHAnsi" w:hAnsiTheme="minorHAnsi"/>
        </w:rPr>
        <w:lastRenderedPageBreak/>
        <w:t>DDCLP.</w:t>
      </w:r>
      <w:r w:rsidRPr="00A11DAA">
        <w:rPr>
          <w:rStyle w:val="FootnoteReference"/>
          <w:rFonts w:asciiTheme="minorHAnsi" w:hAnsiTheme="minorHAnsi"/>
        </w:rPr>
        <w:footnoteReference w:id="9"/>
      </w:r>
      <w:r w:rsidRPr="00A11DAA">
        <w:rPr>
          <w:rFonts w:asciiTheme="minorHAnsi" w:hAnsiTheme="minorHAnsi"/>
        </w:rPr>
        <w:t xml:space="preserve"> The Appellant now recognises that KS2 offers no </w:t>
      </w:r>
      <w:r w:rsidR="00A501AC" w:rsidRPr="00A11DAA">
        <w:rPr>
          <w:rFonts w:asciiTheme="minorHAnsi" w:hAnsiTheme="minorHAnsi"/>
        </w:rPr>
        <w:t xml:space="preserve">policy </w:t>
      </w:r>
      <w:r w:rsidRPr="00A11DAA">
        <w:rPr>
          <w:rFonts w:asciiTheme="minorHAnsi" w:hAnsiTheme="minorHAnsi"/>
        </w:rPr>
        <w:t>support for its proposal.</w:t>
      </w:r>
      <w:r w:rsidRPr="00A11DAA">
        <w:rPr>
          <w:rStyle w:val="FootnoteReference"/>
          <w:rFonts w:asciiTheme="minorHAnsi" w:hAnsiTheme="minorHAnsi"/>
        </w:rPr>
        <w:footnoteReference w:id="10"/>
      </w:r>
      <w:r w:rsidRPr="00A11DAA">
        <w:rPr>
          <w:rFonts w:asciiTheme="minorHAnsi" w:hAnsiTheme="minorHAnsi"/>
        </w:rPr>
        <w:t xml:space="preserve"> It follows that the strategic scale development at Alderholt proposed in the appeal application has no </w:t>
      </w:r>
      <w:r w:rsidR="00A501AC" w:rsidRPr="00A11DAA">
        <w:rPr>
          <w:rFonts w:asciiTheme="minorHAnsi" w:hAnsiTheme="minorHAnsi"/>
        </w:rPr>
        <w:t xml:space="preserve">spatial </w:t>
      </w:r>
      <w:r w:rsidRPr="00A11DAA">
        <w:rPr>
          <w:rFonts w:asciiTheme="minorHAnsi" w:hAnsiTheme="minorHAnsi"/>
        </w:rPr>
        <w:t xml:space="preserve">policy support whatever. Even on its own terms, in order to claim compliance with national policy, the Appellant has had to contend that it is sufficient to make a location “as sustainable as possible”, and does not engage with its real spatial implications (per NPPF/74 and 109). This is dealt with further in relation to Main Issue 2. </w:t>
      </w:r>
    </w:p>
    <w:p w14:paraId="5186121E" w14:textId="77777777" w:rsidR="00445445" w:rsidRPr="00A11DAA" w:rsidRDefault="00445445" w:rsidP="00445445">
      <w:pPr>
        <w:pStyle w:val="ListParagraph"/>
        <w:rPr>
          <w:rFonts w:asciiTheme="minorHAnsi" w:hAnsiTheme="minorHAnsi"/>
        </w:rPr>
      </w:pPr>
    </w:p>
    <w:p w14:paraId="57E04363" w14:textId="685358E2" w:rsidR="00445445" w:rsidRPr="00A11DAA" w:rsidRDefault="00445445" w:rsidP="005903BF">
      <w:pPr>
        <w:pStyle w:val="ListParagraph"/>
        <w:numPr>
          <w:ilvl w:val="0"/>
          <w:numId w:val="12"/>
        </w:numPr>
        <w:spacing w:line="360" w:lineRule="auto"/>
        <w:jc w:val="both"/>
        <w:rPr>
          <w:rFonts w:asciiTheme="minorHAnsi" w:hAnsiTheme="minorHAnsi"/>
        </w:rPr>
      </w:pPr>
      <w:r w:rsidRPr="00A11DAA">
        <w:rPr>
          <w:rFonts w:asciiTheme="minorHAnsi" w:hAnsiTheme="minorHAnsi"/>
        </w:rPr>
        <w:t xml:space="preserve">The remainder of these submissions is structured as follows: </w:t>
      </w:r>
    </w:p>
    <w:p w14:paraId="555C7B51" w14:textId="77777777" w:rsidR="00445445" w:rsidRPr="00A11DAA" w:rsidRDefault="00445445" w:rsidP="00C3692E">
      <w:pPr>
        <w:pStyle w:val="ListParagraph"/>
        <w:rPr>
          <w:rFonts w:asciiTheme="minorHAnsi" w:hAnsiTheme="minorHAnsi"/>
        </w:rPr>
      </w:pPr>
    </w:p>
    <w:p w14:paraId="59741528" w14:textId="157644B8" w:rsidR="00445445" w:rsidRPr="00A11DAA" w:rsidRDefault="00445445" w:rsidP="00445445">
      <w:pPr>
        <w:pStyle w:val="ListParagraph"/>
        <w:numPr>
          <w:ilvl w:val="1"/>
          <w:numId w:val="7"/>
        </w:numPr>
        <w:spacing w:line="360" w:lineRule="auto"/>
        <w:jc w:val="both"/>
        <w:rPr>
          <w:rFonts w:asciiTheme="minorHAnsi" w:hAnsiTheme="minorHAnsi"/>
        </w:rPr>
      </w:pPr>
      <w:r w:rsidRPr="00A11DAA">
        <w:rPr>
          <w:rFonts w:asciiTheme="minorHAnsi" w:hAnsiTheme="minorHAnsi"/>
        </w:rPr>
        <w:t xml:space="preserve">Main Issue 1 </w:t>
      </w:r>
    </w:p>
    <w:p w14:paraId="15316B1E" w14:textId="74F9B1C0" w:rsidR="00445445" w:rsidRPr="00A11DAA" w:rsidRDefault="00445445" w:rsidP="00445445">
      <w:pPr>
        <w:pStyle w:val="ListParagraph"/>
        <w:numPr>
          <w:ilvl w:val="1"/>
          <w:numId w:val="7"/>
        </w:numPr>
        <w:spacing w:line="360" w:lineRule="auto"/>
        <w:jc w:val="both"/>
        <w:rPr>
          <w:rFonts w:asciiTheme="minorHAnsi" w:hAnsiTheme="minorHAnsi"/>
        </w:rPr>
      </w:pPr>
      <w:r w:rsidRPr="00A11DAA">
        <w:rPr>
          <w:rFonts w:asciiTheme="minorHAnsi" w:hAnsiTheme="minorHAnsi"/>
        </w:rPr>
        <w:t xml:space="preserve">Main Issue 2 </w:t>
      </w:r>
    </w:p>
    <w:p w14:paraId="1ADF6F97" w14:textId="67BCE7AF" w:rsidR="00445445" w:rsidRPr="00A11DAA" w:rsidRDefault="00445445" w:rsidP="00445445">
      <w:pPr>
        <w:pStyle w:val="ListParagraph"/>
        <w:numPr>
          <w:ilvl w:val="1"/>
          <w:numId w:val="7"/>
        </w:numPr>
        <w:spacing w:line="360" w:lineRule="auto"/>
        <w:jc w:val="both"/>
        <w:rPr>
          <w:rFonts w:asciiTheme="minorHAnsi" w:hAnsiTheme="minorHAnsi"/>
        </w:rPr>
      </w:pPr>
      <w:r w:rsidRPr="00A11DAA">
        <w:rPr>
          <w:rFonts w:asciiTheme="minorHAnsi" w:hAnsiTheme="minorHAnsi"/>
        </w:rPr>
        <w:t>Highway impacts</w:t>
      </w:r>
    </w:p>
    <w:p w14:paraId="051E6FC1" w14:textId="68257258" w:rsidR="00445445" w:rsidRPr="00A11DAA" w:rsidRDefault="00445445" w:rsidP="00445445">
      <w:pPr>
        <w:pStyle w:val="ListParagraph"/>
        <w:numPr>
          <w:ilvl w:val="1"/>
          <w:numId w:val="7"/>
        </w:numPr>
        <w:spacing w:line="360" w:lineRule="auto"/>
        <w:jc w:val="both"/>
        <w:rPr>
          <w:rFonts w:asciiTheme="minorHAnsi" w:hAnsiTheme="minorHAnsi"/>
        </w:rPr>
      </w:pPr>
      <w:r w:rsidRPr="00A11DAA">
        <w:rPr>
          <w:rFonts w:asciiTheme="minorHAnsi" w:hAnsiTheme="minorHAnsi"/>
        </w:rPr>
        <w:t>Habitats/ecology</w:t>
      </w:r>
    </w:p>
    <w:p w14:paraId="4C929AD3" w14:textId="578A6714" w:rsidR="00445445" w:rsidRPr="00A11DAA" w:rsidRDefault="00445445" w:rsidP="00445445">
      <w:pPr>
        <w:pStyle w:val="ListParagraph"/>
        <w:numPr>
          <w:ilvl w:val="1"/>
          <w:numId w:val="7"/>
        </w:numPr>
        <w:spacing w:line="360" w:lineRule="auto"/>
        <w:jc w:val="both"/>
        <w:rPr>
          <w:rFonts w:asciiTheme="minorHAnsi" w:hAnsiTheme="minorHAnsi"/>
        </w:rPr>
      </w:pPr>
      <w:r w:rsidRPr="00A11DAA">
        <w:rPr>
          <w:rFonts w:asciiTheme="minorHAnsi" w:hAnsiTheme="minorHAnsi"/>
        </w:rPr>
        <w:t>Local centre</w:t>
      </w:r>
    </w:p>
    <w:p w14:paraId="0CEF7A09" w14:textId="7054FCCF" w:rsidR="00445445" w:rsidRPr="00A11DAA" w:rsidRDefault="00445445" w:rsidP="00445445">
      <w:pPr>
        <w:pStyle w:val="ListParagraph"/>
        <w:numPr>
          <w:ilvl w:val="1"/>
          <w:numId w:val="7"/>
        </w:numPr>
        <w:spacing w:line="360" w:lineRule="auto"/>
        <w:jc w:val="both"/>
        <w:rPr>
          <w:rFonts w:asciiTheme="minorHAnsi" w:hAnsiTheme="minorHAnsi"/>
        </w:rPr>
      </w:pPr>
      <w:r w:rsidRPr="00A11DAA">
        <w:rPr>
          <w:rFonts w:asciiTheme="minorHAnsi" w:hAnsiTheme="minorHAnsi"/>
        </w:rPr>
        <w:t>Education</w:t>
      </w:r>
    </w:p>
    <w:p w14:paraId="1008C4DF" w14:textId="77777777" w:rsidR="008832B3" w:rsidRPr="00A11DAA" w:rsidRDefault="008832B3" w:rsidP="008832B3">
      <w:pPr>
        <w:spacing w:line="360" w:lineRule="auto"/>
        <w:jc w:val="both"/>
        <w:rPr>
          <w:rFonts w:asciiTheme="minorHAnsi" w:hAnsiTheme="minorHAnsi"/>
        </w:rPr>
      </w:pPr>
    </w:p>
    <w:p w14:paraId="44CDE8AE" w14:textId="40FAA512" w:rsidR="009E3589" w:rsidRPr="00A11DAA" w:rsidRDefault="009E3589" w:rsidP="008D65C7">
      <w:pPr>
        <w:jc w:val="both"/>
        <w:rPr>
          <w:rFonts w:asciiTheme="minorHAnsi" w:hAnsiTheme="minorHAnsi"/>
          <w:b/>
          <w:bCs/>
          <w:u w:val="single"/>
        </w:rPr>
      </w:pPr>
      <w:r w:rsidRPr="00A11DAA">
        <w:rPr>
          <w:rFonts w:asciiTheme="minorHAnsi" w:hAnsiTheme="minorHAnsi"/>
          <w:b/>
          <w:bCs/>
          <w:u w:val="single"/>
        </w:rPr>
        <w:t>Main issue 1: The significance of the proposal in meeting housing need, having regard to the current supply of housing land and the age of the local plan</w:t>
      </w:r>
    </w:p>
    <w:p w14:paraId="2A6437E6" w14:textId="77777777" w:rsidR="009E3589" w:rsidRPr="00A11DAA" w:rsidRDefault="009E3589" w:rsidP="009E3589">
      <w:pPr>
        <w:pStyle w:val="ListParagraph"/>
        <w:jc w:val="both"/>
        <w:rPr>
          <w:rFonts w:asciiTheme="minorHAnsi" w:hAnsiTheme="minorHAnsi"/>
        </w:rPr>
      </w:pPr>
    </w:p>
    <w:p w14:paraId="39A3335F" w14:textId="7186D3B9" w:rsidR="00445445" w:rsidRPr="00A11DAA" w:rsidRDefault="00445445" w:rsidP="00445445">
      <w:pPr>
        <w:pStyle w:val="ListParagraph"/>
        <w:numPr>
          <w:ilvl w:val="0"/>
          <w:numId w:val="9"/>
        </w:numPr>
        <w:spacing w:line="360" w:lineRule="auto"/>
        <w:jc w:val="both"/>
        <w:rPr>
          <w:rFonts w:asciiTheme="minorHAnsi" w:hAnsiTheme="minorHAnsi"/>
        </w:rPr>
      </w:pPr>
      <w:r w:rsidRPr="00A11DAA">
        <w:rPr>
          <w:rFonts w:asciiTheme="minorHAnsi" w:hAnsiTheme="minorHAnsi"/>
        </w:rPr>
        <w:t>It is agreed that there is a five year housing land supply shortfall in East Dorset</w:t>
      </w:r>
      <w:r w:rsidRPr="00A11DAA">
        <w:rPr>
          <w:rStyle w:val="FootnoteReference"/>
          <w:rFonts w:asciiTheme="minorHAnsi" w:hAnsiTheme="minorHAnsi"/>
        </w:rPr>
        <w:footnoteReference w:id="11"/>
      </w:r>
      <w:r w:rsidRPr="00A11DAA">
        <w:rPr>
          <w:rFonts w:asciiTheme="minorHAnsi" w:hAnsiTheme="minorHAnsi"/>
        </w:rPr>
        <w:t xml:space="preserve"> with a difference between the parties as to the precise extent of that shortfall (just under 3.9 years v. 3 years</w:t>
      </w:r>
      <w:r w:rsidRPr="00A11DAA">
        <w:rPr>
          <w:rStyle w:val="FootnoteReference"/>
          <w:rFonts w:asciiTheme="minorHAnsi" w:hAnsiTheme="minorHAnsi"/>
        </w:rPr>
        <w:footnoteReference w:id="12"/>
      </w:r>
      <w:r w:rsidRPr="00A11DAA">
        <w:rPr>
          <w:rFonts w:asciiTheme="minorHAnsi" w:hAnsiTheme="minorHAnsi"/>
        </w:rPr>
        <w:t>).T</w:t>
      </w:r>
      <w:r w:rsidR="009E3589" w:rsidRPr="00A11DAA">
        <w:rPr>
          <w:rFonts w:asciiTheme="minorHAnsi" w:hAnsiTheme="minorHAnsi"/>
        </w:rPr>
        <w:t xml:space="preserve">he </w:t>
      </w:r>
      <w:r w:rsidRPr="00A11DAA">
        <w:rPr>
          <w:rFonts w:asciiTheme="minorHAnsi" w:hAnsiTheme="minorHAnsi"/>
        </w:rPr>
        <w:t xml:space="preserve">appeal </w:t>
      </w:r>
      <w:r w:rsidR="009E3589" w:rsidRPr="00A11DAA">
        <w:rPr>
          <w:rFonts w:asciiTheme="minorHAnsi" w:hAnsiTheme="minorHAnsi"/>
        </w:rPr>
        <w:t>proposal could potentially make a substantial contribution to the housing land supply of former East Dorset over the long</w:t>
      </w:r>
      <w:r w:rsidRPr="00A11DAA">
        <w:rPr>
          <w:rFonts w:asciiTheme="minorHAnsi" w:hAnsiTheme="minorHAnsi"/>
        </w:rPr>
        <w:t>er</w:t>
      </w:r>
      <w:r w:rsidR="009E3589" w:rsidRPr="00A11DAA">
        <w:rPr>
          <w:rFonts w:asciiTheme="minorHAnsi" w:hAnsiTheme="minorHAnsi"/>
        </w:rPr>
        <w:t xml:space="preserve"> term.</w:t>
      </w:r>
      <w:r w:rsidR="009E3589" w:rsidRPr="00A11DAA">
        <w:rPr>
          <w:rStyle w:val="FootnoteReference"/>
          <w:rFonts w:asciiTheme="minorHAnsi" w:hAnsiTheme="minorHAnsi"/>
        </w:rPr>
        <w:footnoteReference w:id="13"/>
      </w:r>
      <w:r w:rsidR="009E3589" w:rsidRPr="00A11DAA">
        <w:rPr>
          <w:rFonts w:asciiTheme="minorHAnsi" w:hAnsiTheme="minorHAnsi"/>
        </w:rPr>
        <w:t xml:space="preserve"> </w:t>
      </w:r>
      <w:r w:rsidRPr="00A11DAA">
        <w:rPr>
          <w:rFonts w:asciiTheme="minorHAnsi" w:hAnsiTheme="minorHAnsi"/>
        </w:rPr>
        <w:t xml:space="preserve">However, the Council has queried the likelihood of </w:t>
      </w:r>
      <w:r w:rsidR="00A20A10" w:rsidRPr="00A11DAA">
        <w:rPr>
          <w:rFonts w:asciiTheme="minorHAnsi" w:hAnsiTheme="minorHAnsi"/>
        </w:rPr>
        <w:t xml:space="preserve">substantial </w:t>
      </w:r>
      <w:r w:rsidR="006A0F64" w:rsidRPr="00A11DAA">
        <w:rPr>
          <w:rFonts w:asciiTheme="minorHAnsi" w:hAnsiTheme="minorHAnsi"/>
        </w:rPr>
        <w:t xml:space="preserve">housing completions </w:t>
      </w:r>
      <w:r w:rsidRPr="00A11DAA">
        <w:rPr>
          <w:rFonts w:asciiTheme="minorHAnsi" w:hAnsiTheme="minorHAnsi"/>
        </w:rPr>
        <w:t>in the short term</w:t>
      </w:r>
      <w:r w:rsidR="006A0F64" w:rsidRPr="00A11DAA">
        <w:rPr>
          <w:rFonts w:asciiTheme="minorHAnsi" w:hAnsiTheme="minorHAnsi"/>
        </w:rPr>
        <w:t>.</w:t>
      </w:r>
      <w:r w:rsidR="006A0F64" w:rsidRPr="00A11DAA">
        <w:rPr>
          <w:rStyle w:val="FootnoteReference"/>
          <w:rFonts w:asciiTheme="minorHAnsi" w:hAnsiTheme="minorHAnsi"/>
        </w:rPr>
        <w:footnoteReference w:id="14"/>
      </w:r>
      <w:r w:rsidR="00367131" w:rsidRPr="00A11DAA">
        <w:rPr>
          <w:rFonts w:asciiTheme="minorHAnsi" w:hAnsiTheme="minorHAnsi"/>
        </w:rPr>
        <w:t xml:space="preserve"> </w:t>
      </w:r>
    </w:p>
    <w:p w14:paraId="4DDB391D" w14:textId="77777777" w:rsidR="00445445" w:rsidRPr="00A11DAA" w:rsidRDefault="00445445" w:rsidP="00445445">
      <w:pPr>
        <w:pStyle w:val="ListParagraph"/>
        <w:spacing w:line="360" w:lineRule="auto"/>
        <w:jc w:val="both"/>
        <w:rPr>
          <w:rFonts w:asciiTheme="minorHAnsi" w:hAnsiTheme="minorHAnsi"/>
        </w:rPr>
      </w:pPr>
    </w:p>
    <w:p w14:paraId="7BB57685" w14:textId="2FE2A4E0" w:rsidR="00B10851" w:rsidRPr="00A11DAA" w:rsidRDefault="00445445" w:rsidP="00B10851">
      <w:pPr>
        <w:pStyle w:val="ListParagraph"/>
        <w:numPr>
          <w:ilvl w:val="0"/>
          <w:numId w:val="9"/>
        </w:numPr>
        <w:spacing w:line="360" w:lineRule="auto"/>
        <w:jc w:val="both"/>
        <w:rPr>
          <w:rFonts w:asciiTheme="minorHAnsi" w:hAnsiTheme="minorHAnsi"/>
        </w:rPr>
      </w:pPr>
      <w:r w:rsidRPr="00A11DAA">
        <w:rPr>
          <w:rFonts w:asciiTheme="minorHAnsi" w:hAnsiTheme="minorHAnsi"/>
        </w:rPr>
        <w:t>As to the difference between 3 and just under 3.9 years supply</w:t>
      </w:r>
      <w:r w:rsidR="00240DEB" w:rsidRPr="00A11DAA">
        <w:rPr>
          <w:rFonts w:asciiTheme="minorHAnsi" w:hAnsiTheme="minorHAnsi"/>
        </w:rPr>
        <w:t>,</w:t>
      </w:r>
      <w:r w:rsidRPr="00A11DAA">
        <w:rPr>
          <w:rFonts w:asciiTheme="minorHAnsi" w:hAnsiTheme="minorHAnsi"/>
        </w:rPr>
        <w:t xml:space="preserve"> </w:t>
      </w:r>
      <w:r w:rsidR="00240DEB" w:rsidRPr="00A11DAA">
        <w:rPr>
          <w:rFonts w:asciiTheme="minorHAnsi" w:hAnsiTheme="minorHAnsi"/>
        </w:rPr>
        <w:t>t</w:t>
      </w:r>
      <w:r w:rsidR="009E3589" w:rsidRPr="00A11DAA">
        <w:rPr>
          <w:rFonts w:asciiTheme="minorHAnsi" w:hAnsiTheme="minorHAnsi"/>
        </w:rPr>
        <w:t xml:space="preserve">he Appellant takes issue </w:t>
      </w:r>
      <w:r w:rsidRPr="00A11DAA">
        <w:rPr>
          <w:rFonts w:asciiTheme="minorHAnsi" w:hAnsiTheme="minorHAnsi"/>
        </w:rPr>
        <w:t xml:space="preserve">with </w:t>
      </w:r>
      <w:r w:rsidR="006A0F64" w:rsidRPr="00A11DAA">
        <w:rPr>
          <w:rFonts w:asciiTheme="minorHAnsi" w:hAnsiTheme="minorHAnsi"/>
        </w:rPr>
        <w:t xml:space="preserve">the Councils </w:t>
      </w:r>
      <w:r w:rsidRPr="00A11DAA">
        <w:rPr>
          <w:rFonts w:asciiTheme="minorHAnsi" w:hAnsiTheme="minorHAnsi"/>
        </w:rPr>
        <w:t>assessment</w:t>
      </w:r>
      <w:r w:rsidR="009E3589" w:rsidRPr="00A11DAA">
        <w:rPr>
          <w:rFonts w:asciiTheme="minorHAnsi" w:hAnsiTheme="minorHAnsi"/>
        </w:rPr>
        <w:t xml:space="preserve"> on two bases</w:t>
      </w:r>
      <w:r w:rsidR="00240DEB" w:rsidRPr="00A11DAA">
        <w:rPr>
          <w:rFonts w:asciiTheme="minorHAnsi" w:hAnsiTheme="minorHAnsi"/>
        </w:rPr>
        <w:t>.</w:t>
      </w:r>
      <w:r w:rsidR="009E3589" w:rsidRPr="00A11DAA">
        <w:rPr>
          <w:rFonts w:asciiTheme="minorHAnsi" w:hAnsiTheme="minorHAnsi"/>
        </w:rPr>
        <w:t xml:space="preserve"> </w:t>
      </w:r>
      <w:r w:rsidR="00240DEB" w:rsidRPr="00A11DAA">
        <w:rPr>
          <w:rFonts w:asciiTheme="minorHAnsi" w:hAnsiTheme="minorHAnsi"/>
        </w:rPr>
        <w:t>F</w:t>
      </w:r>
      <w:r w:rsidR="009E3589" w:rsidRPr="00A11DAA">
        <w:rPr>
          <w:rFonts w:asciiTheme="minorHAnsi" w:hAnsiTheme="minorHAnsi"/>
        </w:rPr>
        <w:t xml:space="preserve">irst, it objects to the </w:t>
      </w:r>
      <w:r w:rsidR="009E3589" w:rsidRPr="00A11DAA">
        <w:rPr>
          <w:rFonts w:asciiTheme="minorHAnsi" w:hAnsiTheme="minorHAnsi"/>
        </w:rPr>
        <w:lastRenderedPageBreak/>
        <w:t xml:space="preserve">Council capping its Local Housing Need. </w:t>
      </w:r>
      <w:r w:rsidR="00240DEB" w:rsidRPr="00A11DAA">
        <w:rPr>
          <w:rFonts w:asciiTheme="minorHAnsi" w:hAnsiTheme="minorHAnsi"/>
        </w:rPr>
        <w:t>Second, o</w:t>
      </w:r>
      <w:r w:rsidR="009E3589" w:rsidRPr="00A11DAA">
        <w:rPr>
          <w:rFonts w:asciiTheme="minorHAnsi" w:hAnsiTheme="minorHAnsi"/>
        </w:rPr>
        <w:t>n the supply side, it disputes the deliverability of 218 homes</w:t>
      </w:r>
      <w:r w:rsidRPr="00A11DAA">
        <w:rPr>
          <w:rFonts w:asciiTheme="minorHAnsi" w:hAnsiTheme="minorHAnsi"/>
        </w:rPr>
        <w:t xml:space="preserve"> at</w:t>
      </w:r>
      <w:r w:rsidR="009E3589" w:rsidRPr="00A11DAA">
        <w:rPr>
          <w:rFonts w:asciiTheme="minorHAnsi" w:hAnsiTheme="minorHAnsi"/>
        </w:rPr>
        <w:t xml:space="preserve"> How Road, New Road Parley and</w:t>
      </w:r>
      <w:r w:rsidR="006015D2" w:rsidRPr="00A11DAA">
        <w:rPr>
          <w:rFonts w:asciiTheme="minorHAnsi" w:hAnsiTheme="minorHAnsi"/>
        </w:rPr>
        <w:t xml:space="preserve"> </w:t>
      </w:r>
      <w:r w:rsidR="009E3589" w:rsidRPr="00A11DAA">
        <w:rPr>
          <w:rFonts w:asciiTheme="minorHAnsi" w:hAnsiTheme="minorHAnsi"/>
        </w:rPr>
        <w:t>the Council’s windfall allowance.</w:t>
      </w:r>
      <w:r w:rsidR="009E3589" w:rsidRPr="00A11DAA">
        <w:rPr>
          <w:rStyle w:val="FootnoteReference"/>
          <w:rFonts w:asciiTheme="minorHAnsi" w:hAnsiTheme="minorHAnsi"/>
        </w:rPr>
        <w:footnoteReference w:id="15"/>
      </w:r>
      <w:r w:rsidR="009E3589" w:rsidRPr="00A11DAA">
        <w:rPr>
          <w:rFonts w:asciiTheme="minorHAnsi" w:hAnsiTheme="minorHAnsi"/>
        </w:rPr>
        <w:t xml:space="preserve"> </w:t>
      </w:r>
      <w:r w:rsidRPr="00A11DAA">
        <w:rPr>
          <w:rFonts w:asciiTheme="minorHAnsi" w:hAnsiTheme="minorHAnsi"/>
        </w:rPr>
        <w:t>These narrow points will be considered via the round table session.</w:t>
      </w:r>
      <w:r w:rsidR="009E3589" w:rsidRPr="00A11DAA">
        <w:rPr>
          <w:rFonts w:asciiTheme="minorHAnsi" w:hAnsiTheme="minorHAnsi"/>
        </w:rPr>
        <w:t xml:space="preserve">  </w:t>
      </w:r>
      <w:r w:rsidRPr="00A11DAA">
        <w:rPr>
          <w:rFonts w:asciiTheme="minorHAnsi" w:hAnsiTheme="minorHAnsi"/>
        </w:rPr>
        <w:t>In short: t</w:t>
      </w:r>
      <w:r w:rsidR="009E3589" w:rsidRPr="00A11DAA">
        <w:rPr>
          <w:rFonts w:asciiTheme="minorHAnsi" w:hAnsiTheme="minorHAnsi"/>
        </w:rPr>
        <w:t>he use of a cap follows from a straightforward application of the guidance on use of the Standard Method;</w:t>
      </w:r>
      <w:r w:rsidR="009E3589" w:rsidRPr="00A11DAA">
        <w:rPr>
          <w:rStyle w:val="FootnoteReference"/>
          <w:rFonts w:asciiTheme="minorHAnsi" w:hAnsiTheme="minorHAnsi"/>
        </w:rPr>
        <w:footnoteReference w:id="16"/>
      </w:r>
      <w:r w:rsidR="009E3589" w:rsidRPr="00A11DAA">
        <w:rPr>
          <w:rFonts w:asciiTheme="minorHAnsi" w:hAnsiTheme="minorHAnsi"/>
        </w:rPr>
        <w:t xml:space="preserve"> the 124 homes attributable to Howe Road and New Road Parley are deliverable</w:t>
      </w:r>
      <w:r w:rsidR="009E3589" w:rsidRPr="00A11DAA">
        <w:rPr>
          <w:rStyle w:val="FootnoteReference"/>
          <w:rFonts w:asciiTheme="minorHAnsi" w:hAnsiTheme="minorHAnsi"/>
        </w:rPr>
        <w:footnoteReference w:id="17"/>
      </w:r>
      <w:r w:rsidR="009E3589" w:rsidRPr="00A11DAA">
        <w:rPr>
          <w:rFonts w:asciiTheme="minorHAnsi" w:hAnsiTheme="minorHAnsi"/>
        </w:rPr>
        <w:t xml:space="preserve"> and there has been no double counting of windfall sites.</w:t>
      </w:r>
      <w:r w:rsidR="009E3589" w:rsidRPr="00A11DAA">
        <w:rPr>
          <w:rStyle w:val="FootnoteReference"/>
          <w:rFonts w:asciiTheme="minorHAnsi" w:hAnsiTheme="minorHAnsi"/>
        </w:rPr>
        <w:t xml:space="preserve"> </w:t>
      </w:r>
      <w:r w:rsidR="009E3589" w:rsidRPr="00A11DAA">
        <w:rPr>
          <w:rStyle w:val="FootnoteReference"/>
          <w:rFonts w:asciiTheme="minorHAnsi" w:hAnsiTheme="minorHAnsi"/>
        </w:rPr>
        <w:footnoteReference w:id="18"/>
      </w:r>
      <w:r w:rsidR="009E3589" w:rsidRPr="00A11DAA">
        <w:rPr>
          <w:rFonts w:asciiTheme="minorHAnsi" w:hAnsiTheme="minorHAnsi"/>
        </w:rPr>
        <w:t xml:space="preserve"> </w:t>
      </w:r>
    </w:p>
    <w:p w14:paraId="3B271A28" w14:textId="77777777" w:rsidR="00B10851" w:rsidRPr="00A11DAA" w:rsidRDefault="00B10851" w:rsidP="00F408D4">
      <w:pPr>
        <w:rPr>
          <w:rFonts w:asciiTheme="minorHAnsi" w:hAnsiTheme="minorHAnsi"/>
        </w:rPr>
      </w:pPr>
    </w:p>
    <w:p w14:paraId="38DC7892" w14:textId="7C8F8AFA" w:rsidR="008F6710" w:rsidRPr="00A11DAA" w:rsidRDefault="008F6710" w:rsidP="00B10851">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The </w:t>
      </w:r>
      <w:r w:rsidR="00445445" w:rsidRPr="00A11DAA">
        <w:rPr>
          <w:rFonts w:asciiTheme="minorHAnsi" w:hAnsiTheme="minorHAnsi"/>
        </w:rPr>
        <w:t>key contentious issue arising in relation to</w:t>
      </w:r>
      <w:r w:rsidRPr="00A11DAA">
        <w:rPr>
          <w:rFonts w:asciiTheme="minorHAnsi" w:hAnsiTheme="minorHAnsi"/>
        </w:rPr>
        <w:t xml:space="preserve"> main issue 1</w:t>
      </w:r>
      <w:r w:rsidR="00A3129F" w:rsidRPr="00A11DAA">
        <w:rPr>
          <w:rFonts w:asciiTheme="minorHAnsi" w:hAnsiTheme="minorHAnsi"/>
        </w:rPr>
        <w:t xml:space="preserve">, and RfR 4, </w:t>
      </w:r>
      <w:r w:rsidRPr="00A11DAA">
        <w:rPr>
          <w:rFonts w:asciiTheme="minorHAnsi" w:hAnsiTheme="minorHAnsi"/>
        </w:rPr>
        <w:t xml:space="preserve">is the fact that Appellant has </w:t>
      </w:r>
      <w:r w:rsidR="00CF0E9D" w:rsidRPr="00A11DAA">
        <w:rPr>
          <w:rFonts w:asciiTheme="minorHAnsi" w:hAnsiTheme="minorHAnsi"/>
        </w:rPr>
        <w:t>failed to offer an appropriate level of affordable housing, contrary to Policy LN3 of the Christchurch and East Dorset Local Plan Part 1</w:t>
      </w:r>
      <w:r w:rsidR="008546D3" w:rsidRPr="00A11DAA">
        <w:rPr>
          <w:rStyle w:val="FootnoteReference"/>
          <w:rFonts w:asciiTheme="minorHAnsi" w:hAnsiTheme="minorHAnsi"/>
        </w:rPr>
        <w:footnoteReference w:id="19"/>
      </w:r>
      <w:r w:rsidR="00010218" w:rsidRPr="00A11DAA">
        <w:rPr>
          <w:rFonts w:asciiTheme="minorHAnsi" w:hAnsiTheme="minorHAnsi"/>
        </w:rPr>
        <w:t xml:space="preserve"> </w:t>
      </w:r>
      <w:r w:rsidR="00445445" w:rsidRPr="00A11DAA">
        <w:rPr>
          <w:rFonts w:asciiTheme="minorHAnsi" w:hAnsiTheme="minorHAnsi"/>
        </w:rPr>
        <w:t xml:space="preserve">in that it </w:t>
      </w:r>
      <w:r w:rsidR="00010218" w:rsidRPr="00A11DAA">
        <w:rPr>
          <w:rFonts w:asciiTheme="minorHAnsi" w:hAnsiTheme="minorHAnsi"/>
        </w:rPr>
        <w:t xml:space="preserve">has failed to appropriately justify </w:t>
      </w:r>
      <w:r w:rsidR="00365B4C" w:rsidRPr="00A11DAA">
        <w:rPr>
          <w:rFonts w:asciiTheme="minorHAnsi" w:hAnsiTheme="minorHAnsi"/>
        </w:rPr>
        <w:t>a reduction</w:t>
      </w:r>
      <w:r w:rsidR="00A3129F" w:rsidRPr="00A11DAA">
        <w:rPr>
          <w:rFonts w:asciiTheme="minorHAnsi" w:hAnsiTheme="minorHAnsi"/>
        </w:rPr>
        <w:t xml:space="preserve"> from 50%</w:t>
      </w:r>
      <w:r w:rsidR="00E23D29" w:rsidRPr="00A11DAA">
        <w:rPr>
          <w:rFonts w:asciiTheme="minorHAnsi" w:hAnsiTheme="minorHAnsi"/>
        </w:rPr>
        <w:t xml:space="preserve"> </w:t>
      </w:r>
      <w:r w:rsidR="00365B4C" w:rsidRPr="00A11DAA">
        <w:rPr>
          <w:rFonts w:asciiTheme="minorHAnsi" w:hAnsiTheme="minorHAnsi"/>
        </w:rPr>
        <w:t xml:space="preserve">to 35% </w:t>
      </w:r>
      <w:r w:rsidR="00E23D29" w:rsidRPr="00A11DAA">
        <w:rPr>
          <w:rFonts w:asciiTheme="minorHAnsi" w:hAnsiTheme="minorHAnsi"/>
        </w:rPr>
        <w:t>on viability grounds</w:t>
      </w:r>
      <w:r w:rsidR="00010218" w:rsidRPr="00A11DAA">
        <w:rPr>
          <w:rFonts w:asciiTheme="minorHAnsi" w:hAnsiTheme="minorHAnsi"/>
        </w:rPr>
        <w:t xml:space="preserve">. </w:t>
      </w:r>
      <w:r w:rsidR="00CA707B" w:rsidRPr="00A11DAA">
        <w:rPr>
          <w:rFonts w:asciiTheme="minorHAnsi" w:hAnsiTheme="minorHAnsi"/>
        </w:rPr>
        <w:t xml:space="preserve">It is agreed that a </w:t>
      </w:r>
      <w:r w:rsidR="003655B2" w:rsidRPr="00A11DAA">
        <w:rPr>
          <w:rFonts w:asciiTheme="minorHAnsi" w:hAnsiTheme="minorHAnsi"/>
        </w:rPr>
        <w:t>request for an</w:t>
      </w:r>
      <w:r w:rsidR="00CA707B" w:rsidRPr="00A11DAA">
        <w:rPr>
          <w:rFonts w:asciiTheme="minorHAnsi" w:hAnsiTheme="minorHAnsi"/>
        </w:rPr>
        <w:t xml:space="preserve"> affordable housin</w:t>
      </w:r>
      <w:r w:rsidR="003655B2" w:rsidRPr="00A11DAA">
        <w:rPr>
          <w:rFonts w:asciiTheme="minorHAnsi" w:hAnsiTheme="minorHAnsi"/>
        </w:rPr>
        <w:t>g level</w:t>
      </w:r>
      <w:r w:rsidR="00CA707B" w:rsidRPr="00A11DAA">
        <w:rPr>
          <w:rFonts w:asciiTheme="minorHAnsi" w:hAnsiTheme="minorHAnsi"/>
        </w:rPr>
        <w:t xml:space="preserve"> lower than 50% must be justified by “clear and robust evidence”</w:t>
      </w:r>
      <w:r w:rsidR="003655B2" w:rsidRPr="00A11DAA">
        <w:rPr>
          <w:rFonts w:asciiTheme="minorHAnsi" w:hAnsiTheme="minorHAnsi"/>
        </w:rPr>
        <w:t xml:space="preserve"> subject to verification.</w:t>
      </w:r>
      <w:r w:rsidR="003655B2" w:rsidRPr="00A11DAA">
        <w:rPr>
          <w:rStyle w:val="FootnoteReference"/>
          <w:rFonts w:asciiTheme="minorHAnsi" w:hAnsiTheme="minorHAnsi"/>
        </w:rPr>
        <w:footnoteReference w:id="20"/>
      </w:r>
      <w:r w:rsidR="000E4C69" w:rsidRPr="00A11DAA">
        <w:rPr>
          <w:rFonts w:asciiTheme="minorHAnsi" w:hAnsiTheme="minorHAnsi"/>
        </w:rPr>
        <w:t xml:space="preserve"> </w:t>
      </w:r>
      <w:r w:rsidR="00CA707B" w:rsidRPr="00A11DAA">
        <w:rPr>
          <w:rFonts w:asciiTheme="minorHAnsi" w:hAnsiTheme="minorHAnsi"/>
        </w:rPr>
        <w:t xml:space="preserve"> </w:t>
      </w:r>
      <w:r w:rsidR="00445445" w:rsidRPr="00A11DAA">
        <w:rPr>
          <w:rFonts w:asciiTheme="minorHAnsi" w:hAnsiTheme="minorHAnsi"/>
        </w:rPr>
        <w:t xml:space="preserve">The basis for the Appellant’s assumptions has varied and the Council has sought independent verification of them. </w:t>
      </w:r>
      <w:r w:rsidR="00BA2023" w:rsidRPr="00A11DAA">
        <w:rPr>
          <w:rStyle w:val="FootnoteReference"/>
          <w:rFonts w:asciiTheme="minorHAnsi" w:hAnsiTheme="minorHAnsi"/>
        </w:rPr>
        <w:footnoteReference w:id="21"/>
      </w:r>
      <w:r w:rsidR="00BA2023" w:rsidRPr="00A11DAA">
        <w:rPr>
          <w:rFonts w:asciiTheme="minorHAnsi" w:hAnsiTheme="minorHAnsi"/>
        </w:rPr>
        <w:t xml:space="preserve"> </w:t>
      </w:r>
      <w:r w:rsidR="00445445" w:rsidRPr="00A11DAA">
        <w:rPr>
          <w:rFonts w:asciiTheme="minorHAnsi" w:hAnsiTheme="minorHAnsi"/>
        </w:rPr>
        <w:t xml:space="preserve">As the Inspector will have seen, the </w:t>
      </w:r>
      <w:r w:rsidR="00BA2023" w:rsidRPr="00A11DAA">
        <w:rPr>
          <w:rFonts w:asciiTheme="minorHAnsi" w:hAnsiTheme="minorHAnsi"/>
        </w:rPr>
        <w:t xml:space="preserve">Council </w:t>
      </w:r>
      <w:r w:rsidR="00554BB6" w:rsidRPr="00A11DAA">
        <w:rPr>
          <w:rFonts w:asciiTheme="minorHAnsi" w:hAnsiTheme="minorHAnsi"/>
        </w:rPr>
        <w:t xml:space="preserve">has </w:t>
      </w:r>
      <w:r w:rsidR="00D64F34" w:rsidRPr="00A11DAA">
        <w:rPr>
          <w:rFonts w:asciiTheme="minorHAnsi" w:hAnsiTheme="minorHAnsi"/>
        </w:rPr>
        <w:t>commissioned</w:t>
      </w:r>
      <w:r w:rsidR="00BA2023" w:rsidRPr="00A11DAA">
        <w:rPr>
          <w:rFonts w:asciiTheme="minorHAnsi" w:hAnsiTheme="minorHAnsi"/>
        </w:rPr>
        <w:t xml:space="preserve"> </w:t>
      </w:r>
      <w:r w:rsidR="00445445" w:rsidRPr="00A11DAA">
        <w:rPr>
          <w:rFonts w:asciiTheme="minorHAnsi" w:hAnsiTheme="minorHAnsi"/>
        </w:rPr>
        <w:t xml:space="preserve">and disclosed </w:t>
      </w:r>
      <w:r w:rsidR="00BA2023" w:rsidRPr="00A11DAA">
        <w:rPr>
          <w:rFonts w:asciiTheme="minorHAnsi" w:hAnsiTheme="minorHAnsi"/>
        </w:rPr>
        <w:t xml:space="preserve">its own </w:t>
      </w:r>
      <w:r w:rsidR="00445445" w:rsidRPr="00A11DAA">
        <w:rPr>
          <w:rFonts w:asciiTheme="minorHAnsi" w:hAnsiTheme="minorHAnsi"/>
        </w:rPr>
        <w:t>R</w:t>
      </w:r>
      <w:r w:rsidR="00BA2023" w:rsidRPr="00A11DAA">
        <w:rPr>
          <w:rFonts w:asciiTheme="minorHAnsi" w:hAnsiTheme="minorHAnsi"/>
        </w:rPr>
        <w:t xml:space="preserve">ed </w:t>
      </w:r>
      <w:r w:rsidR="00445445" w:rsidRPr="00A11DAA">
        <w:rPr>
          <w:rFonts w:asciiTheme="minorHAnsi" w:hAnsiTheme="minorHAnsi"/>
        </w:rPr>
        <w:t>B</w:t>
      </w:r>
      <w:r w:rsidR="00BA2023" w:rsidRPr="00A11DAA">
        <w:rPr>
          <w:rFonts w:asciiTheme="minorHAnsi" w:hAnsiTheme="minorHAnsi"/>
        </w:rPr>
        <w:t xml:space="preserve">ook </w:t>
      </w:r>
      <w:r w:rsidR="00A56E85" w:rsidRPr="00A11DAA">
        <w:rPr>
          <w:rFonts w:asciiTheme="minorHAnsi" w:hAnsiTheme="minorHAnsi"/>
        </w:rPr>
        <w:t>valuation report</w:t>
      </w:r>
      <w:r w:rsidR="00554BB6" w:rsidRPr="00A11DAA">
        <w:rPr>
          <w:rFonts w:asciiTheme="minorHAnsi" w:hAnsiTheme="minorHAnsi"/>
        </w:rPr>
        <w:t>.</w:t>
      </w:r>
      <w:r w:rsidR="00A56E85" w:rsidRPr="00A11DAA">
        <w:rPr>
          <w:rStyle w:val="FootnoteReference"/>
          <w:rFonts w:asciiTheme="minorHAnsi" w:hAnsiTheme="minorHAnsi"/>
        </w:rPr>
        <w:footnoteReference w:id="22"/>
      </w:r>
      <w:r w:rsidR="00554BB6" w:rsidRPr="00A11DAA">
        <w:rPr>
          <w:rFonts w:asciiTheme="minorHAnsi" w:hAnsiTheme="minorHAnsi"/>
        </w:rPr>
        <w:t xml:space="preserve"> </w:t>
      </w:r>
      <w:r w:rsidR="00011AE7" w:rsidRPr="00A11DAA">
        <w:rPr>
          <w:rFonts w:asciiTheme="minorHAnsi" w:hAnsiTheme="minorHAnsi"/>
        </w:rPr>
        <w:t>For the reasons set out by Mr Verdi, the</w:t>
      </w:r>
      <w:r w:rsidR="001C0C1E" w:rsidRPr="00A11DAA">
        <w:rPr>
          <w:rFonts w:asciiTheme="minorHAnsi" w:hAnsiTheme="minorHAnsi"/>
        </w:rPr>
        <w:t xml:space="preserve"> scheme can provide</w:t>
      </w:r>
      <w:r w:rsidR="00445445" w:rsidRPr="00A11DAA">
        <w:rPr>
          <w:rFonts w:asciiTheme="minorHAnsi" w:hAnsiTheme="minorHAnsi"/>
        </w:rPr>
        <w:t xml:space="preserve"> well in excess of the 35% offered. Varying the assumptions so as to reflect that Red Book valuation plus a sensible range of inputs indicates that e.g.</w:t>
      </w:r>
      <w:r w:rsidR="001C0C1E" w:rsidRPr="00A11DAA">
        <w:rPr>
          <w:rFonts w:asciiTheme="minorHAnsi" w:hAnsiTheme="minorHAnsi"/>
        </w:rPr>
        <w:t xml:space="preserve"> 40.6% affordable housing</w:t>
      </w:r>
      <w:r w:rsidR="00445445" w:rsidRPr="00A11DAA">
        <w:rPr>
          <w:rFonts w:asciiTheme="minorHAnsi" w:hAnsiTheme="minorHAnsi"/>
        </w:rPr>
        <w:t xml:space="preserve"> could be provided.</w:t>
      </w:r>
      <w:r w:rsidR="001C0C1E" w:rsidRPr="00A11DAA">
        <w:rPr>
          <w:rStyle w:val="FootnoteReference"/>
          <w:rFonts w:asciiTheme="minorHAnsi" w:hAnsiTheme="minorHAnsi"/>
        </w:rPr>
        <w:footnoteReference w:id="23"/>
      </w:r>
      <w:r w:rsidR="00011AE7" w:rsidRPr="00A11DAA">
        <w:rPr>
          <w:rFonts w:asciiTheme="minorHAnsi" w:hAnsiTheme="minorHAnsi"/>
        </w:rPr>
        <w:t xml:space="preserve"> </w:t>
      </w:r>
      <w:r w:rsidR="00445445" w:rsidRPr="00A11DAA">
        <w:rPr>
          <w:rFonts w:asciiTheme="minorHAnsi" w:hAnsiTheme="minorHAnsi"/>
        </w:rPr>
        <w:t>Mr Verdi’s</w:t>
      </w:r>
      <w:r w:rsidR="00011AE7" w:rsidRPr="00A11DAA">
        <w:rPr>
          <w:rFonts w:asciiTheme="minorHAnsi" w:hAnsiTheme="minorHAnsi"/>
        </w:rPr>
        <w:t xml:space="preserve"> evidence </w:t>
      </w:r>
      <w:r w:rsidR="00445445" w:rsidRPr="00A11DAA">
        <w:rPr>
          <w:rFonts w:asciiTheme="minorHAnsi" w:hAnsiTheme="minorHAnsi"/>
        </w:rPr>
        <w:t xml:space="preserve">is to be preferred </w:t>
      </w:r>
      <w:r w:rsidR="00011AE7" w:rsidRPr="00A11DAA">
        <w:rPr>
          <w:rFonts w:asciiTheme="minorHAnsi" w:hAnsiTheme="minorHAnsi"/>
        </w:rPr>
        <w:t>on each of the three inputs still in dispute: professional fees, developer’s profit</w:t>
      </w:r>
      <w:r w:rsidR="009E4D43" w:rsidRPr="00A11DAA">
        <w:rPr>
          <w:rFonts w:asciiTheme="minorHAnsi" w:hAnsiTheme="minorHAnsi"/>
        </w:rPr>
        <w:t xml:space="preserve"> </w:t>
      </w:r>
      <w:r w:rsidR="00445445" w:rsidRPr="00A11DAA">
        <w:rPr>
          <w:rFonts w:asciiTheme="minorHAnsi" w:hAnsiTheme="minorHAnsi"/>
        </w:rPr>
        <w:t xml:space="preserve">on </w:t>
      </w:r>
      <w:r w:rsidR="009E4D43" w:rsidRPr="00A11DAA">
        <w:rPr>
          <w:rFonts w:asciiTheme="minorHAnsi" w:hAnsiTheme="minorHAnsi"/>
        </w:rPr>
        <w:t xml:space="preserve">market housing, and </w:t>
      </w:r>
      <w:r w:rsidR="00445445" w:rsidRPr="00A11DAA">
        <w:rPr>
          <w:rFonts w:asciiTheme="minorHAnsi" w:hAnsiTheme="minorHAnsi"/>
        </w:rPr>
        <w:t xml:space="preserve">the benchmark </w:t>
      </w:r>
      <w:r w:rsidR="009E4D43" w:rsidRPr="00A11DAA">
        <w:rPr>
          <w:rFonts w:asciiTheme="minorHAnsi" w:hAnsiTheme="minorHAnsi"/>
        </w:rPr>
        <w:t>land value.</w:t>
      </w:r>
      <w:r w:rsidR="009E4D43" w:rsidRPr="00A11DAA">
        <w:rPr>
          <w:rStyle w:val="FootnoteReference"/>
          <w:rFonts w:asciiTheme="minorHAnsi" w:hAnsiTheme="minorHAnsi"/>
        </w:rPr>
        <w:footnoteReference w:id="24"/>
      </w:r>
      <w:r w:rsidR="00011AE7" w:rsidRPr="00A11DAA">
        <w:rPr>
          <w:rFonts w:asciiTheme="minorHAnsi" w:hAnsiTheme="minorHAnsi"/>
        </w:rPr>
        <w:t xml:space="preserve"> </w:t>
      </w:r>
    </w:p>
    <w:p w14:paraId="7272CD50" w14:textId="77777777" w:rsidR="009000AF" w:rsidRPr="00A11DAA" w:rsidRDefault="009000AF" w:rsidP="00A8767C">
      <w:pPr>
        <w:spacing w:line="360" w:lineRule="auto"/>
        <w:jc w:val="both"/>
        <w:rPr>
          <w:rFonts w:asciiTheme="minorHAnsi" w:hAnsiTheme="minorHAnsi"/>
          <w:b/>
          <w:bCs/>
          <w:u w:val="single"/>
        </w:rPr>
      </w:pPr>
    </w:p>
    <w:p w14:paraId="04F2F279" w14:textId="77777777" w:rsidR="00431247" w:rsidRPr="00A11DAA" w:rsidRDefault="00431247" w:rsidP="00A8767C">
      <w:pPr>
        <w:spacing w:line="360" w:lineRule="auto"/>
        <w:jc w:val="both"/>
        <w:rPr>
          <w:rFonts w:asciiTheme="minorHAnsi" w:hAnsiTheme="minorHAnsi"/>
          <w:b/>
          <w:bCs/>
          <w:u w:val="single"/>
        </w:rPr>
      </w:pPr>
    </w:p>
    <w:p w14:paraId="2B86A14D" w14:textId="13B401F3" w:rsidR="00953323" w:rsidRPr="00A11DAA" w:rsidRDefault="003369E0" w:rsidP="006A5041">
      <w:pPr>
        <w:jc w:val="both"/>
        <w:rPr>
          <w:rFonts w:asciiTheme="minorHAnsi" w:hAnsiTheme="minorHAnsi"/>
          <w:b/>
          <w:bCs/>
          <w:u w:val="single"/>
        </w:rPr>
      </w:pPr>
      <w:r w:rsidRPr="00A11DAA">
        <w:rPr>
          <w:rFonts w:asciiTheme="minorHAnsi" w:hAnsiTheme="minorHAnsi"/>
          <w:b/>
          <w:bCs/>
          <w:u w:val="single"/>
        </w:rPr>
        <w:lastRenderedPageBreak/>
        <w:t>Main Issue 2:</w:t>
      </w:r>
      <w:r w:rsidR="00AF3E0F" w:rsidRPr="00A11DAA">
        <w:rPr>
          <w:rFonts w:asciiTheme="minorHAnsi" w:hAnsiTheme="minorHAnsi"/>
          <w:b/>
          <w:bCs/>
          <w:u w:val="single"/>
        </w:rPr>
        <w:t xml:space="preserve"> Whether the development would be appropriate in this location having regard to: its relationship to Alderholt and other settlements and their facilities; its connection to the highways network; its relationship to the AONB; the local plan spatial strategy; and the emerging Neighbourhood Plan.</w:t>
      </w:r>
    </w:p>
    <w:p w14:paraId="62A60CAE" w14:textId="2E2B1B66" w:rsidR="00AF3E0F" w:rsidRPr="00A11DAA" w:rsidRDefault="00AF3E0F" w:rsidP="00BC3D8A">
      <w:pPr>
        <w:spacing w:line="360" w:lineRule="auto"/>
        <w:jc w:val="both"/>
        <w:rPr>
          <w:rFonts w:asciiTheme="minorHAnsi" w:hAnsiTheme="minorHAnsi"/>
        </w:rPr>
      </w:pPr>
    </w:p>
    <w:p w14:paraId="23DF1436" w14:textId="77777777" w:rsidR="007B0320" w:rsidRPr="00A11DAA" w:rsidRDefault="002433B5"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The Council refused </w:t>
      </w:r>
      <w:r w:rsidR="00230519" w:rsidRPr="00A11DAA">
        <w:rPr>
          <w:rFonts w:asciiTheme="minorHAnsi" w:hAnsiTheme="minorHAnsi"/>
        </w:rPr>
        <w:t xml:space="preserve">planning </w:t>
      </w:r>
      <w:r w:rsidRPr="00A11DAA">
        <w:rPr>
          <w:rFonts w:asciiTheme="minorHAnsi" w:hAnsiTheme="minorHAnsi"/>
        </w:rPr>
        <w:t xml:space="preserve">permission on the basis that the </w:t>
      </w:r>
      <w:r w:rsidR="00230519" w:rsidRPr="00A11DAA">
        <w:rPr>
          <w:rFonts w:asciiTheme="minorHAnsi" w:hAnsiTheme="minorHAnsi"/>
        </w:rPr>
        <w:t>proposal is for</w:t>
      </w:r>
      <w:r w:rsidRPr="00A11DAA">
        <w:rPr>
          <w:rFonts w:asciiTheme="minorHAnsi" w:hAnsiTheme="minorHAnsi"/>
        </w:rPr>
        <w:t xml:space="preserve"> significant</w:t>
      </w:r>
      <w:r w:rsidR="00230519" w:rsidRPr="00A11DAA">
        <w:rPr>
          <w:rFonts w:asciiTheme="minorHAnsi" w:hAnsiTheme="minorHAnsi"/>
        </w:rPr>
        <w:t xml:space="preserve"> development</w:t>
      </w:r>
      <w:r w:rsidR="00B676DF" w:rsidRPr="00A11DAA">
        <w:rPr>
          <w:rFonts w:asciiTheme="minorHAnsi" w:hAnsiTheme="minorHAnsi"/>
        </w:rPr>
        <w:t xml:space="preserve"> </w:t>
      </w:r>
      <w:r w:rsidRPr="00A11DAA">
        <w:rPr>
          <w:rFonts w:asciiTheme="minorHAnsi" w:hAnsiTheme="minorHAnsi"/>
        </w:rPr>
        <w:t>contrary to the settlement hierarchy</w:t>
      </w:r>
      <w:r w:rsidR="00230519" w:rsidRPr="00A11DAA">
        <w:rPr>
          <w:rFonts w:asciiTheme="minorHAnsi" w:hAnsiTheme="minorHAnsi"/>
        </w:rPr>
        <w:t>, which is intended to direct development to the most sustainable locations, as per the hierarchy established by</w:t>
      </w:r>
      <w:r w:rsidR="00B676DF" w:rsidRPr="00A11DAA">
        <w:rPr>
          <w:rFonts w:asciiTheme="minorHAnsi" w:hAnsiTheme="minorHAnsi"/>
        </w:rPr>
        <w:t xml:space="preserve"> KS2</w:t>
      </w:r>
      <w:r w:rsidR="00230519" w:rsidRPr="00A11DAA">
        <w:rPr>
          <w:rFonts w:asciiTheme="minorHAnsi" w:hAnsiTheme="minorHAnsi"/>
        </w:rPr>
        <w:t xml:space="preserve">. Its objection is not only that there is </w:t>
      </w:r>
      <w:r w:rsidR="00B7352B" w:rsidRPr="00A11DAA">
        <w:rPr>
          <w:rFonts w:asciiTheme="minorHAnsi" w:hAnsiTheme="minorHAnsi"/>
        </w:rPr>
        <w:t xml:space="preserve">imbalance </w:t>
      </w:r>
      <w:r w:rsidR="00230519" w:rsidRPr="00A11DAA">
        <w:rPr>
          <w:rFonts w:asciiTheme="minorHAnsi" w:hAnsiTheme="minorHAnsi"/>
        </w:rPr>
        <w:t>in terms of the scale of development/facilities provided when compared to those contemplated for rural service centres in KS2, but that it is not “well-located” (e.g. NPPF/74) as defined locally in the adopted plan.</w:t>
      </w:r>
      <w:r w:rsidR="00B676DF" w:rsidRPr="00A11DAA">
        <w:rPr>
          <w:rFonts w:asciiTheme="minorHAnsi" w:hAnsiTheme="minorHAnsi"/>
        </w:rPr>
        <w:t xml:space="preserve"> </w:t>
      </w:r>
      <w:r w:rsidR="00AC0C86" w:rsidRPr="00A11DAA">
        <w:rPr>
          <w:rFonts w:asciiTheme="minorHAnsi" w:hAnsiTheme="minorHAnsi"/>
        </w:rPr>
        <w:t>That is what the Council understands to be the import of the Inspector’s preliminary conclusion, and with respect,</w:t>
      </w:r>
      <w:r w:rsidR="00710BA2" w:rsidRPr="00A11DAA">
        <w:rPr>
          <w:rFonts w:asciiTheme="minorHAnsi" w:hAnsiTheme="minorHAnsi"/>
        </w:rPr>
        <w:t xml:space="preserve"> that conclusion is</w:t>
      </w:r>
      <w:r w:rsidR="00AC0C86" w:rsidRPr="00A11DAA">
        <w:rPr>
          <w:rFonts w:asciiTheme="minorHAnsi" w:hAnsiTheme="minorHAnsi"/>
        </w:rPr>
        <w:t xml:space="preserve"> clearly right (</w:t>
      </w:r>
      <w:r w:rsidR="00710BA2" w:rsidRPr="00A11DAA">
        <w:rPr>
          <w:rFonts w:asciiTheme="minorHAnsi" w:hAnsiTheme="minorHAnsi"/>
        </w:rPr>
        <w:t>irrespective of whether there</w:t>
      </w:r>
      <w:r w:rsidR="00AC0C86" w:rsidRPr="00A11DAA">
        <w:rPr>
          <w:rFonts w:asciiTheme="minorHAnsi" w:hAnsiTheme="minorHAnsi"/>
        </w:rPr>
        <w:t xml:space="preserve"> is a precise match in terms of the concession then made). </w:t>
      </w:r>
      <w:r w:rsidR="00710BA2" w:rsidRPr="00A11DAA">
        <w:rPr>
          <w:rFonts w:asciiTheme="minorHAnsi" w:hAnsiTheme="minorHAnsi"/>
        </w:rPr>
        <w:t>Further, there</w:t>
      </w:r>
      <w:r w:rsidR="00A501AC" w:rsidRPr="00A11DAA">
        <w:rPr>
          <w:rFonts w:asciiTheme="minorHAnsi" w:hAnsiTheme="minorHAnsi"/>
        </w:rPr>
        <w:t xml:space="preserve"> is no merit in the contention </w:t>
      </w:r>
      <w:r w:rsidR="0007742F" w:rsidRPr="00A11DAA">
        <w:rPr>
          <w:rFonts w:asciiTheme="minorHAnsi" w:hAnsiTheme="minorHAnsi"/>
        </w:rPr>
        <w:t xml:space="preserve">implicit </w:t>
      </w:r>
      <w:r w:rsidR="00A501AC" w:rsidRPr="00A11DAA">
        <w:rPr>
          <w:rFonts w:asciiTheme="minorHAnsi" w:hAnsiTheme="minorHAnsi"/>
        </w:rPr>
        <w:t xml:space="preserve">in the Appellant’s transport and planning evidence that national policy is satisfied by </w:t>
      </w:r>
      <w:r w:rsidR="00710BA2" w:rsidRPr="00A11DAA">
        <w:rPr>
          <w:rFonts w:asciiTheme="minorHAnsi" w:hAnsiTheme="minorHAnsi"/>
        </w:rPr>
        <w:t>some</w:t>
      </w:r>
      <w:r w:rsidR="00A501AC" w:rsidRPr="00A11DAA">
        <w:rPr>
          <w:rFonts w:asciiTheme="minorHAnsi" w:hAnsiTheme="minorHAnsi"/>
        </w:rPr>
        <w:t xml:space="preserve"> measure of improvement. Instead, NPPF/109 </w:t>
      </w:r>
      <w:r w:rsidR="0007742F" w:rsidRPr="00A11DAA">
        <w:rPr>
          <w:rFonts w:asciiTheme="minorHAnsi" w:hAnsiTheme="minorHAnsi"/>
        </w:rPr>
        <w:t>is focused on ensuring</w:t>
      </w:r>
      <w:r w:rsidR="00A501AC" w:rsidRPr="00A11DAA">
        <w:rPr>
          <w:rFonts w:asciiTheme="minorHAnsi" w:hAnsiTheme="minorHAnsi"/>
        </w:rPr>
        <w:t xml:space="preserve"> that when significant development is proposed, it</w:t>
      </w:r>
      <w:r w:rsidR="0007742F" w:rsidRPr="00A11DAA">
        <w:rPr>
          <w:rFonts w:asciiTheme="minorHAnsi" w:hAnsiTheme="minorHAnsi"/>
        </w:rPr>
        <w:t>s location is properly to be judged “sustainable”, rather than e.g. “more sustainable than it was”.</w:t>
      </w:r>
      <w:r w:rsidR="0007742F" w:rsidRPr="00A11DAA">
        <w:rPr>
          <w:rStyle w:val="FootnoteReference"/>
          <w:rFonts w:asciiTheme="minorHAnsi" w:hAnsiTheme="minorHAnsi"/>
        </w:rPr>
        <w:t xml:space="preserve"> </w:t>
      </w:r>
      <w:r w:rsidR="0007742F" w:rsidRPr="00A11DAA">
        <w:rPr>
          <w:rStyle w:val="FootnoteReference"/>
          <w:rFonts w:asciiTheme="minorHAnsi" w:hAnsiTheme="minorHAnsi"/>
        </w:rPr>
        <w:footnoteReference w:id="25"/>
      </w:r>
      <w:r w:rsidR="0007742F" w:rsidRPr="00A11DAA">
        <w:rPr>
          <w:rFonts w:asciiTheme="minorHAnsi" w:hAnsiTheme="minorHAnsi"/>
        </w:rPr>
        <w:t xml:space="preserve"> </w:t>
      </w:r>
    </w:p>
    <w:p w14:paraId="4FD83998" w14:textId="77777777" w:rsidR="007B0320" w:rsidRPr="00A11DAA" w:rsidRDefault="007B0320" w:rsidP="007B0320">
      <w:pPr>
        <w:pStyle w:val="ListParagraph"/>
        <w:spacing w:line="360" w:lineRule="auto"/>
        <w:jc w:val="both"/>
        <w:rPr>
          <w:rFonts w:asciiTheme="minorHAnsi" w:hAnsiTheme="minorHAnsi"/>
        </w:rPr>
      </w:pPr>
    </w:p>
    <w:p w14:paraId="34F60E0E" w14:textId="61C14DF2" w:rsidR="006D649A" w:rsidRPr="00A11DAA" w:rsidRDefault="002B10BD"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Under the general heading “transport”, but per issue 10(i):</w:t>
      </w:r>
      <w:r w:rsidR="000F20B2" w:rsidRPr="00A11DAA">
        <w:rPr>
          <w:rFonts w:asciiTheme="minorHAnsi" w:hAnsiTheme="minorHAnsi"/>
        </w:rPr>
        <w:t xml:space="preserve"> the </w:t>
      </w:r>
      <w:r w:rsidRPr="00A11DAA">
        <w:rPr>
          <w:rFonts w:asciiTheme="minorHAnsi" w:hAnsiTheme="minorHAnsi"/>
        </w:rPr>
        <w:t xml:space="preserve">connections to the </w:t>
      </w:r>
      <w:r w:rsidR="000F20B2" w:rsidRPr="00A11DAA">
        <w:rPr>
          <w:rFonts w:asciiTheme="minorHAnsi" w:hAnsiTheme="minorHAnsi"/>
        </w:rPr>
        <w:t xml:space="preserve">highway network </w:t>
      </w:r>
      <w:r w:rsidR="00222C2A" w:rsidRPr="00A11DAA">
        <w:rPr>
          <w:rFonts w:asciiTheme="minorHAnsi" w:hAnsiTheme="minorHAnsi"/>
        </w:rPr>
        <w:t>(and the impact on the highway)</w:t>
      </w:r>
      <w:r w:rsidR="000F20B2" w:rsidRPr="00A11DAA">
        <w:rPr>
          <w:rFonts w:asciiTheme="minorHAnsi" w:hAnsiTheme="minorHAnsi"/>
        </w:rPr>
        <w:t xml:space="preserve">, </w:t>
      </w:r>
      <w:r w:rsidRPr="00A11DAA">
        <w:rPr>
          <w:rFonts w:asciiTheme="minorHAnsi" w:hAnsiTheme="minorHAnsi"/>
        </w:rPr>
        <w:t xml:space="preserve">are addressed in the </w:t>
      </w:r>
      <w:r w:rsidR="000F20B2" w:rsidRPr="00A11DAA">
        <w:rPr>
          <w:rFonts w:asciiTheme="minorHAnsi" w:hAnsiTheme="minorHAnsi"/>
        </w:rPr>
        <w:t>Highways Topic Paper</w:t>
      </w:r>
      <w:r w:rsidR="00222C2A" w:rsidRPr="00A11DAA">
        <w:rPr>
          <w:rFonts w:asciiTheme="minorHAnsi" w:hAnsiTheme="minorHAnsi"/>
        </w:rPr>
        <w:t xml:space="preserve">. As </w:t>
      </w:r>
      <w:r w:rsidR="000F20B2" w:rsidRPr="00A11DAA">
        <w:rPr>
          <w:rFonts w:asciiTheme="minorHAnsi" w:hAnsiTheme="minorHAnsi"/>
        </w:rPr>
        <w:t>requested, this does not deal with the subject of whether the development would be appropriate in this location.</w:t>
      </w:r>
      <w:r w:rsidR="000F20B2" w:rsidRPr="00A11DAA">
        <w:rPr>
          <w:rStyle w:val="FootnoteReference"/>
          <w:rFonts w:asciiTheme="minorHAnsi" w:hAnsiTheme="minorHAnsi"/>
        </w:rPr>
        <w:footnoteReference w:id="26"/>
      </w:r>
      <w:r w:rsidR="005227F4" w:rsidRPr="00A11DAA">
        <w:rPr>
          <w:rFonts w:asciiTheme="minorHAnsi" w:hAnsiTheme="minorHAnsi"/>
        </w:rPr>
        <w:t xml:space="preserve"> </w:t>
      </w:r>
      <w:r w:rsidR="000F20B2" w:rsidRPr="00A11DAA">
        <w:rPr>
          <w:rFonts w:asciiTheme="minorHAnsi" w:hAnsiTheme="minorHAnsi"/>
        </w:rPr>
        <w:t xml:space="preserve">The list of matters in dispute </w:t>
      </w:r>
      <w:r w:rsidR="00463828" w:rsidRPr="00A11DAA">
        <w:rPr>
          <w:rFonts w:asciiTheme="minorHAnsi" w:hAnsiTheme="minorHAnsi"/>
        </w:rPr>
        <w:t>remains</w:t>
      </w:r>
      <w:r w:rsidR="000F20B2" w:rsidRPr="00A11DAA">
        <w:rPr>
          <w:rFonts w:asciiTheme="minorHAnsi" w:hAnsiTheme="minorHAnsi"/>
        </w:rPr>
        <w:t xml:space="preserve"> extensive</w:t>
      </w:r>
      <w:r w:rsidR="005E4B03" w:rsidRPr="00A11DAA">
        <w:rPr>
          <w:rFonts w:asciiTheme="minorHAnsi" w:hAnsiTheme="minorHAnsi"/>
        </w:rPr>
        <w:t>,</w:t>
      </w:r>
      <w:r w:rsidR="00463828" w:rsidRPr="00A11DAA">
        <w:rPr>
          <w:rStyle w:val="FootnoteReference"/>
          <w:rFonts w:asciiTheme="minorHAnsi" w:hAnsiTheme="minorHAnsi"/>
        </w:rPr>
        <w:footnoteReference w:id="27"/>
      </w:r>
      <w:r w:rsidR="000F20B2" w:rsidRPr="00A11DAA">
        <w:rPr>
          <w:rFonts w:asciiTheme="minorHAnsi" w:hAnsiTheme="minorHAnsi"/>
        </w:rPr>
        <w:t xml:space="preserve"> although a new transport assessment, based on revised trip rates</w:t>
      </w:r>
      <w:r w:rsidR="00463828" w:rsidRPr="00A11DAA">
        <w:rPr>
          <w:rFonts w:asciiTheme="minorHAnsi" w:hAnsiTheme="minorHAnsi"/>
        </w:rPr>
        <w:t>,</w:t>
      </w:r>
      <w:r w:rsidR="000F20B2" w:rsidRPr="00A11DAA">
        <w:rPr>
          <w:rFonts w:asciiTheme="minorHAnsi" w:hAnsiTheme="minorHAnsi"/>
        </w:rPr>
        <w:t xml:space="preserve"> was submitted </w:t>
      </w:r>
      <w:r w:rsidR="00463828" w:rsidRPr="00A11DAA">
        <w:rPr>
          <w:rFonts w:asciiTheme="minorHAnsi" w:hAnsiTheme="minorHAnsi"/>
        </w:rPr>
        <w:t xml:space="preserve">in May 2024 </w:t>
      </w:r>
      <w:r w:rsidR="000F20B2" w:rsidRPr="00A11DAA">
        <w:rPr>
          <w:rFonts w:asciiTheme="minorHAnsi" w:hAnsiTheme="minorHAnsi"/>
        </w:rPr>
        <w:t>and has had to be reviewed during the course of the appeal.</w:t>
      </w:r>
      <w:r w:rsidR="000F20B2" w:rsidRPr="00A11DAA">
        <w:rPr>
          <w:rStyle w:val="FootnoteReference"/>
          <w:rFonts w:asciiTheme="minorHAnsi" w:hAnsiTheme="minorHAnsi"/>
        </w:rPr>
        <w:footnoteReference w:id="28"/>
      </w:r>
      <w:r w:rsidR="000F20B2" w:rsidRPr="00A11DAA">
        <w:rPr>
          <w:rFonts w:asciiTheme="minorHAnsi" w:hAnsiTheme="minorHAnsi"/>
        </w:rPr>
        <w:t xml:space="preserve">  </w:t>
      </w:r>
      <w:r w:rsidR="00463828" w:rsidRPr="00A11DAA">
        <w:rPr>
          <w:rFonts w:asciiTheme="minorHAnsi" w:hAnsiTheme="minorHAnsi"/>
        </w:rPr>
        <w:t xml:space="preserve">Inquiry time has been budgeted so as to allow consideration of these matters. One theme underlying the differences between the parties is what must be settled now, and what can sensibly be left to a later stage. The Council’s </w:t>
      </w:r>
      <w:r w:rsidR="00463828" w:rsidRPr="00A11DAA">
        <w:rPr>
          <w:rFonts w:asciiTheme="minorHAnsi" w:hAnsiTheme="minorHAnsi"/>
        </w:rPr>
        <w:lastRenderedPageBreak/>
        <w:t xml:space="preserve">basic position on this is that if there is an obvious problem, and no obvious solution, the matter should be dealt with now.  </w:t>
      </w:r>
    </w:p>
    <w:p w14:paraId="155539B8" w14:textId="77777777" w:rsidR="006C7DCE" w:rsidRPr="00A11DAA" w:rsidRDefault="006C7DCE" w:rsidP="006C7DCE">
      <w:pPr>
        <w:pStyle w:val="ListParagraph"/>
        <w:rPr>
          <w:rFonts w:asciiTheme="minorHAnsi" w:hAnsiTheme="minorHAnsi"/>
        </w:rPr>
      </w:pPr>
    </w:p>
    <w:p w14:paraId="2D43C981" w14:textId="0BD7969F" w:rsidR="00990B5F" w:rsidRPr="00A11DAA" w:rsidRDefault="00CD17EA" w:rsidP="00CD17EA">
      <w:pPr>
        <w:pStyle w:val="ListParagraph"/>
        <w:numPr>
          <w:ilvl w:val="0"/>
          <w:numId w:val="9"/>
        </w:numPr>
        <w:spacing w:line="360" w:lineRule="auto"/>
        <w:jc w:val="both"/>
        <w:rPr>
          <w:rFonts w:asciiTheme="minorHAnsi" w:hAnsiTheme="minorHAnsi"/>
        </w:rPr>
      </w:pPr>
      <w:r w:rsidRPr="00A11DAA">
        <w:rPr>
          <w:rFonts w:asciiTheme="minorHAnsi" w:hAnsiTheme="minorHAnsi"/>
        </w:rPr>
        <w:t>To</w:t>
      </w:r>
      <w:r w:rsidR="003671AE" w:rsidRPr="00A11DAA">
        <w:rPr>
          <w:rFonts w:asciiTheme="minorHAnsi" w:hAnsiTheme="minorHAnsi"/>
        </w:rPr>
        <w:t xml:space="preserve"> the extent an assessment </w:t>
      </w:r>
      <w:r w:rsidR="003671AE" w:rsidRPr="00A11DAA">
        <w:rPr>
          <w:rFonts w:asciiTheme="minorHAnsi" w:hAnsiTheme="minorHAnsi"/>
          <w:i/>
          <w:iCs/>
        </w:rPr>
        <w:t>can</w:t>
      </w:r>
      <w:r w:rsidR="003671AE" w:rsidRPr="00A11DAA">
        <w:rPr>
          <w:rFonts w:asciiTheme="minorHAnsi" w:hAnsiTheme="minorHAnsi"/>
        </w:rPr>
        <w:t xml:space="preserve"> be made,</w:t>
      </w:r>
      <w:r w:rsidR="003671AE" w:rsidRPr="00A11DAA">
        <w:rPr>
          <w:rStyle w:val="FootnoteReference"/>
          <w:rFonts w:asciiTheme="minorHAnsi" w:hAnsiTheme="minorHAnsi"/>
        </w:rPr>
        <w:footnoteReference w:id="29"/>
      </w:r>
      <w:r w:rsidR="006C7DCE" w:rsidRPr="00A11DAA">
        <w:rPr>
          <w:rFonts w:asciiTheme="minorHAnsi" w:hAnsiTheme="minorHAnsi"/>
        </w:rPr>
        <w:t xml:space="preserve"> issues in the evidence provided by the Appellant in both the TA and TAA</w:t>
      </w:r>
      <w:r w:rsidR="00EB41E1" w:rsidRPr="00A11DAA">
        <w:rPr>
          <w:rFonts w:asciiTheme="minorHAnsi" w:hAnsiTheme="minorHAnsi"/>
        </w:rPr>
        <w:t xml:space="preserve">, and a lack of certainty about delivery of the offsite works </w:t>
      </w:r>
      <w:r w:rsidR="0028447E" w:rsidRPr="00A11DAA">
        <w:rPr>
          <w:rFonts w:asciiTheme="minorHAnsi" w:hAnsiTheme="minorHAnsi"/>
        </w:rPr>
        <w:t>fails to demonstrate the proposal would not have a residual cumulative impact on the highway network or unacceptable impact on highway safety</w:t>
      </w:r>
      <w:r w:rsidR="00990B5F" w:rsidRPr="00A11DAA">
        <w:rPr>
          <w:rFonts w:asciiTheme="minorHAnsi" w:hAnsiTheme="minorHAnsi"/>
        </w:rPr>
        <w:t>.</w:t>
      </w:r>
      <w:r w:rsidR="0028447E" w:rsidRPr="00A11DAA">
        <w:rPr>
          <w:rStyle w:val="FootnoteReference"/>
          <w:rFonts w:asciiTheme="minorHAnsi" w:hAnsiTheme="minorHAnsi"/>
        </w:rPr>
        <w:footnoteReference w:id="30"/>
      </w:r>
      <w:r w:rsidRPr="00A11DAA">
        <w:rPr>
          <w:rFonts w:asciiTheme="minorHAnsi" w:hAnsiTheme="minorHAnsi"/>
        </w:rPr>
        <w:t xml:space="preserve">  </w:t>
      </w:r>
    </w:p>
    <w:p w14:paraId="1C961B6E" w14:textId="77777777" w:rsidR="00990B5F" w:rsidRPr="00A11DAA" w:rsidRDefault="00990B5F" w:rsidP="00990B5F">
      <w:pPr>
        <w:pStyle w:val="ListParagraph"/>
        <w:rPr>
          <w:rFonts w:asciiTheme="minorHAnsi" w:hAnsiTheme="minorHAnsi"/>
        </w:rPr>
      </w:pPr>
    </w:p>
    <w:p w14:paraId="6136949F" w14:textId="2D50C57B" w:rsidR="00947597" w:rsidRPr="00A11DAA" w:rsidRDefault="00947597" w:rsidP="00990B5F">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Furthermore, the proposal would bring additional traffic and recreational activity into the AONB, </w:t>
      </w:r>
      <w:r w:rsidR="00476924" w:rsidRPr="00A11DAA">
        <w:rPr>
          <w:rFonts w:asciiTheme="minorHAnsi" w:hAnsiTheme="minorHAnsi"/>
        </w:rPr>
        <w:t>resulting in a loss of tranquillity as set out in RfR 8.</w:t>
      </w:r>
      <w:r w:rsidR="002B10BD" w:rsidRPr="00A11DAA">
        <w:rPr>
          <w:rStyle w:val="FootnoteReference"/>
          <w:rFonts w:asciiTheme="minorHAnsi" w:hAnsiTheme="minorHAnsi"/>
        </w:rPr>
        <w:footnoteReference w:id="31"/>
      </w:r>
      <w:r w:rsidR="002B10BD" w:rsidRPr="00A11DAA">
        <w:rPr>
          <w:rFonts w:asciiTheme="minorHAnsi" w:hAnsiTheme="minorHAnsi"/>
        </w:rPr>
        <w:t xml:space="preserve"> </w:t>
      </w:r>
      <w:r w:rsidR="009C30B8" w:rsidRPr="00A11DAA">
        <w:rPr>
          <w:rFonts w:asciiTheme="minorHAnsi" w:hAnsiTheme="minorHAnsi"/>
        </w:rPr>
        <w:t xml:space="preserve"> The legal obligation is to seek to further the purpose of conserving and enhancing the natural beauty of the </w:t>
      </w:r>
      <w:r w:rsidR="00EB750E" w:rsidRPr="00A11DAA">
        <w:rPr>
          <w:rFonts w:asciiTheme="minorHAnsi" w:hAnsiTheme="minorHAnsi"/>
        </w:rPr>
        <w:t>AONB</w:t>
      </w:r>
      <w:r w:rsidR="009C30B8" w:rsidRPr="00A11DAA">
        <w:rPr>
          <w:rFonts w:asciiTheme="minorHAnsi" w:hAnsiTheme="minorHAnsi"/>
        </w:rPr>
        <w:t>.</w:t>
      </w:r>
      <w:r w:rsidR="009C30B8" w:rsidRPr="00A11DAA">
        <w:rPr>
          <w:rStyle w:val="FootnoteReference"/>
          <w:rFonts w:asciiTheme="minorHAnsi" w:hAnsiTheme="minorHAnsi"/>
        </w:rPr>
        <w:footnoteReference w:id="32"/>
      </w:r>
      <w:r w:rsidR="002766F2" w:rsidRPr="00A11DAA">
        <w:rPr>
          <w:rFonts w:asciiTheme="minorHAnsi" w:hAnsiTheme="minorHAnsi"/>
        </w:rPr>
        <w:t xml:space="preserve"> The high levels of tranquillity within the AONB are an important element of its natural beauty.</w:t>
      </w:r>
      <w:r w:rsidR="002766F2" w:rsidRPr="00A11DAA">
        <w:rPr>
          <w:rStyle w:val="FootnoteReference"/>
          <w:rFonts w:asciiTheme="minorHAnsi" w:hAnsiTheme="minorHAnsi"/>
        </w:rPr>
        <w:footnoteReference w:id="33"/>
      </w:r>
      <w:r w:rsidR="00964A2B" w:rsidRPr="00A11DAA">
        <w:rPr>
          <w:rFonts w:asciiTheme="minorHAnsi" w:hAnsiTheme="minorHAnsi"/>
        </w:rPr>
        <w:t xml:space="preserve"> </w:t>
      </w:r>
      <w:r w:rsidR="002B10BD" w:rsidRPr="00A11DAA">
        <w:rPr>
          <w:rFonts w:asciiTheme="minorHAnsi" w:hAnsiTheme="minorHAnsi"/>
        </w:rPr>
        <w:t xml:space="preserve">The effect of </w:t>
      </w:r>
      <w:r w:rsidR="00964A2B" w:rsidRPr="00A11DAA">
        <w:rPr>
          <w:rFonts w:asciiTheme="minorHAnsi" w:hAnsiTheme="minorHAnsi"/>
        </w:rPr>
        <w:t>recreational activity</w:t>
      </w:r>
      <w:r w:rsidR="002B10BD" w:rsidRPr="00A11DAA">
        <w:rPr>
          <w:rFonts w:asciiTheme="minorHAnsi" w:hAnsiTheme="minorHAnsi"/>
        </w:rPr>
        <w:t xml:space="preserve"> is a more minor issue, but has not adequately been addressed.</w:t>
      </w:r>
      <w:r w:rsidR="00B92466" w:rsidRPr="00A11DAA">
        <w:rPr>
          <w:rStyle w:val="FootnoteReference"/>
          <w:rFonts w:asciiTheme="minorHAnsi" w:hAnsiTheme="minorHAnsi"/>
        </w:rPr>
        <w:footnoteReference w:id="34"/>
      </w:r>
    </w:p>
    <w:p w14:paraId="2633CE3D" w14:textId="77777777" w:rsidR="002E36AC" w:rsidRPr="00A11DAA" w:rsidRDefault="002E36AC" w:rsidP="002E36AC">
      <w:pPr>
        <w:pStyle w:val="ListParagraph"/>
        <w:rPr>
          <w:rFonts w:asciiTheme="minorHAnsi" w:hAnsiTheme="minorHAnsi"/>
        </w:rPr>
      </w:pPr>
    </w:p>
    <w:p w14:paraId="176DE407" w14:textId="084AA994" w:rsidR="002D583E" w:rsidRPr="00A11DAA" w:rsidRDefault="006D7E19"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In relation to the </w:t>
      </w:r>
      <w:r w:rsidR="002E36AC" w:rsidRPr="00A11DAA">
        <w:rPr>
          <w:rFonts w:asciiTheme="minorHAnsi" w:hAnsiTheme="minorHAnsi"/>
        </w:rPr>
        <w:t>Emerging Neighbourhood Plan</w:t>
      </w:r>
      <w:r w:rsidRPr="00A11DAA">
        <w:rPr>
          <w:rFonts w:asciiTheme="minorHAnsi" w:hAnsiTheme="minorHAnsi"/>
        </w:rPr>
        <w:t xml:space="preserve">, </w:t>
      </w:r>
      <w:r w:rsidR="000707EC" w:rsidRPr="00A11DAA">
        <w:rPr>
          <w:rFonts w:asciiTheme="minorHAnsi" w:hAnsiTheme="minorHAnsi"/>
        </w:rPr>
        <w:t>the last day of consultation is today (25</w:t>
      </w:r>
      <w:r w:rsidR="000707EC" w:rsidRPr="00A11DAA">
        <w:rPr>
          <w:rFonts w:asciiTheme="minorHAnsi" w:hAnsiTheme="minorHAnsi"/>
          <w:vertAlign w:val="superscript"/>
        </w:rPr>
        <w:t>th</w:t>
      </w:r>
      <w:r w:rsidR="000707EC" w:rsidRPr="00A11DAA">
        <w:rPr>
          <w:rFonts w:asciiTheme="minorHAnsi" w:hAnsiTheme="minorHAnsi"/>
        </w:rPr>
        <w:t xml:space="preserve"> June)</w:t>
      </w:r>
      <w:r w:rsidR="00621D4C" w:rsidRPr="00A11DAA">
        <w:rPr>
          <w:rFonts w:asciiTheme="minorHAnsi" w:hAnsiTheme="minorHAnsi"/>
        </w:rPr>
        <w:t xml:space="preserve"> and a further update will be provided once the consultation responses have been reviewed.</w:t>
      </w:r>
    </w:p>
    <w:p w14:paraId="2D880F8E" w14:textId="38330F26" w:rsidR="006A5041" w:rsidRPr="00A11DAA" w:rsidRDefault="006A5041">
      <w:pPr>
        <w:rPr>
          <w:rFonts w:asciiTheme="minorHAnsi" w:hAnsiTheme="minorHAnsi"/>
          <w:u w:val="single"/>
        </w:rPr>
      </w:pPr>
    </w:p>
    <w:p w14:paraId="2C7EFF8F" w14:textId="77777777" w:rsidR="009A3E64" w:rsidRPr="00A11DAA" w:rsidRDefault="009A3E64">
      <w:pPr>
        <w:rPr>
          <w:rFonts w:asciiTheme="minorHAnsi" w:hAnsiTheme="minorHAnsi"/>
          <w:b/>
          <w:bCs/>
          <w:u w:val="single"/>
        </w:rPr>
      </w:pPr>
    </w:p>
    <w:p w14:paraId="356E53D5" w14:textId="77777777" w:rsidR="009A3E64" w:rsidRPr="00A11DAA" w:rsidRDefault="009A3E64">
      <w:pPr>
        <w:rPr>
          <w:rFonts w:asciiTheme="minorHAnsi" w:hAnsiTheme="minorHAnsi"/>
          <w:b/>
          <w:bCs/>
          <w:u w:val="single"/>
        </w:rPr>
      </w:pPr>
    </w:p>
    <w:p w14:paraId="4AB0FEDA" w14:textId="77777777" w:rsidR="009A3E64" w:rsidRPr="00A11DAA" w:rsidRDefault="009A3E64">
      <w:pPr>
        <w:rPr>
          <w:rFonts w:asciiTheme="minorHAnsi" w:hAnsiTheme="minorHAnsi"/>
          <w:b/>
          <w:bCs/>
          <w:u w:val="single"/>
        </w:rPr>
      </w:pPr>
    </w:p>
    <w:p w14:paraId="575A0810" w14:textId="77777777" w:rsidR="009A3E64" w:rsidRPr="00A11DAA" w:rsidRDefault="009A3E64">
      <w:pPr>
        <w:rPr>
          <w:rFonts w:asciiTheme="minorHAnsi" w:hAnsiTheme="minorHAnsi"/>
          <w:b/>
          <w:bCs/>
          <w:u w:val="single"/>
        </w:rPr>
      </w:pPr>
    </w:p>
    <w:p w14:paraId="3DA1D30B" w14:textId="77777777" w:rsidR="009A3E64" w:rsidRPr="00A11DAA" w:rsidRDefault="009A3E64">
      <w:pPr>
        <w:rPr>
          <w:rFonts w:asciiTheme="minorHAnsi" w:hAnsiTheme="minorHAnsi"/>
          <w:b/>
          <w:bCs/>
          <w:u w:val="single"/>
        </w:rPr>
      </w:pPr>
    </w:p>
    <w:p w14:paraId="6A97AA26" w14:textId="12E2D375" w:rsidR="006943B7" w:rsidRPr="00A11DAA" w:rsidRDefault="006943B7">
      <w:pPr>
        <w:rPr>
          <w:rFonts w:asciiTheme="minorHAnsi" w:hAnsiTheme="minorHAnsi"/>
          <w:b/>
          <w:bCs/>
          <w:u w:val="single"/>
        </w:rPr>
      </w:pPr>
      <w:r w:rsidRPr="00A11DAA">
        <w:rPr>
          <w:rFonts w:asciiTheme="minorHAnsi" w:hAnsiTheme="minorHAnsi"/>
          <w:b/>
          <w:bCs/>
          <w:u w:val="single"/>
        </w:rPr>
        <w:lastRenderedPageBreak/>
        <w:t>Issue 10(ii) Whether the potential ecological impact of the scheme on protected habitats would be adequately mitigated.</w:t>
      </w:r>
    </w:p>
    <w:p w14:paraId="182F186E" w14:textId="77777777" w:rsidR="00BE0476" w:rsidRPr="00A11DAA" w:rsidRDefault="00BE0476" w:rsidP="00DC5EF3">
      <w:pPr>
        <w:spacing w:line="360" w:lineRule="auto"/>
        <w:jc w:val="both"/>
        <w:rPr>
          <w:rFonts w:asciiTheme="minorHAnsi" w:hAnsiTheme="minorHAnsi"/>
          <w:b/>
          <w:bCs/>
          <w:u w:val="single"/>
        </w:rPr>
      </w:pPr>
    </w:p>
    <w:p w14:paraId="5A023AF0" w14:textId="2BE6442C" w:rsidR="00537D22" w:rsidRPr="00A11DAA" w:rsidRDefault="00251A8D"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It is not in dispute that, absent mitigation, the proposal is likely to have an adverse impact on the integrity of </w:t>
      </w:r>
      <w:r w:rsidR="00564B5F" w:rsidRPr="00A11DAA">
        <w:rPr>
          <w:rFonts w:asciiTheme="minorHAnsi" w:hAnsiTheme="minorHAnsi"/>
        </w:rPr>
        <w:t>the Dorset Heathlands SPA</w:t>
      </w:r>
      <w:r w:rsidR="006B1E60" w:rsidRPr="00A11DAA">
        <w:rPr>
          <w:rFonts w:asciiTheme="minorHAnsi" w:hAnsiTheme="minorHAnsi"/>
        </w:rPr>
        <w:t>/Ramsar</w:t>
      </w:r>
      <w:r w:rsidR="00564B5F" w:rsidRPr="00A11DAA">
        <w:rPr>
          <w:rFonts w:asciiTheme="minorHAnsi" w:hAnsiTheme="minorHAnsi"/>
        </w:rPr>
        <w:t>, Dorset Heaths SAC, New Forest SPA/SAC</w:t>
      </w:r>
      <w:r w:rsidR="006B1E60" w:rsidRPr="00A11DAA">
        <w:rPr>
          <w:rFonts w:asciiTheme="minorHAnsi" w:hAnsiTheme="minorHAnsi"/>
        </w:rPr>
        <w:t>/Ramsar</w:t>
      </w:r>
      <w:r w:rsidR="00564B5F" w:rsidRPr="00A11DAA">
        <w:rPr>
          <w:rFonts w:asciiTheme="minorHAnsi" w:hAnsiTheme="minorHAnsi"/>
        </w:rPr>
        <w:t xml:space="preserve"> and River Avon SAC</w:t>
      </w:r>
      <w:r w:rsidR="006B1E60" w:rsidRPr="00A11DAA">
        <w:rPr>
          <w:rFonts w:asciiTheme="minorHAnsi" w:hAnsiTheme="minorHAnsi"/>
        </w:rPr>
        <w:t xml:space="preserve"> and Avon Valley Ramsar</w:t>
      </w:r>
      <w:r w:rsidR="00564B5F" w:rsidRPr="00A11DAA">
        <w:rPr>
          <w:rFonts w:asciiTheme="minorHAnsi" w:hAnsiTheme="minorHAnsi"/>
        </w:rPr>
        <w:t>.</w:t>
      </w:r>
      <w:r w:rsidR="00FD0CD0" w:rsidRPr="00A11DAA">
        <w:rPr>
          <w:rStyle w:val="FootnoteReference"/>
          <w:rFonts w:asciiTheme="minorHAnsi" w:hAnsiTheme="minorHAnsi"/>
        </w:rPr>
        <w:footnoteReference w:id="35"/>
      </w:r>
      <w:r w:rsidR="00564B5F" w:rsidRPr="00A11DAA">
        <w:rPr>
          <w:rFonts w:asciiTheme="minorHAnsi" w:hAnsiTheme="minorHAnsi"/>
        </w:rPr>
        <w:t xml:space="preserve"> </w:t>
      </w:r>
      <w:r w:rsidR="007F66B6" w:rsidRPr="00A11DAA">
        <w:rPr>
          <w:rFonts w:asciiTheme="minorHAnsi" w:hAnsiTheme="minorHAnsi"/>
        </w:rPr>
        <w:t xml:space="preserve">The Council refused permission (RfR 4) </w:t>
      </w:r>
      <w:r w:rsidR="00BA47EB" w:rsidRPr="00A11DAA">
        <w:rPr>
          <w:rFonts w:asciiTheme="minorHAnsi" w:hAnsiTheme="minorHAnsi"/>
        </w:rPr>
        <w:t>because it did could not rule out an adverse effect on site integrity</w:t>
      </w:r>
      <w:r w:rsidR="00BA47EB" w:rsidRPr="00A11DAA">
        <w:rPr>
          <w:rStyle w:val="FootnoteReference"/>
          <w:rFonts w:asciiTheme="minorHAnsi" w:hAnsiTheme="minorHAnsi"/>
        </w:rPr>
        <w:footnoteReference w:id="36"/>
      </w:r>
      <w:r w:rsidR="00BA47EB" w:rsidRPr="00A11DAA">
        <w:rPr>
          <w:rFonts w:asciiTheme="minorHAnsi" w:hAnsiTheme="minorHAnsi"/>
        </w:rPr>
        <w:t xml:space="preserve">. </w:t>
      </w:r>
      <w:r w:rsidR="00564B5F" w:rsidRPr="00A11DAA">
        <w:rPr>
          <w:rFonts w:asciiTheme="minorHAnsi" w:hAnsiTheme="minorHAnsi"/>
        </w:rPr>
        <w:t>It is not alone in that.  Natural England – a statutory consultee whose views must be given great weight</w:t>
      </w:r>
      <w:r w:rsidR="007B20B7" w:rsidRPr="00A11DAA">
        <w:rPr>
          <w:rStyle w:val="FootnoteReference"/>
          <w:rFonts w:asciiTheme="minorHAnsi" w:hAnsiTheme="minorHAnsi"/>
        </w:rPr>
        <w:footnoteReference w:id="37"/>
      </w:r>
      <w:r w:rsidR="00564B5F" w:rsidRPr="00A11DAA">
        <w:rPr>
          <w:rFonts w:asciiTheme="minorHAnsi" w:hAnsiTheme="minorHAnsi"/>
        </w:rPr>
        <w:t xml:space="preserve"> –</w:t>
      </w:r>
      <w:r w:rsidR="00BA47EB" w:rsidRPr="00A11DAA">
        <w:rPr>
          <w:rFonts w:asciiTheme="minorHAnsi" w:hAnsiTheme="minorHAnsi"/>
        </w:rPr>
        <w:t xml:space="preserve"> reached the same view.</w:t>
      </w:r>
      <w:r w:rsidR="00564B5F" w:rsidRPr="00A11DAA">
        <w:rPr>
          <w:rStyle w:val="FootnoteReference"/>
          <w:rFonts w:asciiTheme="minorHAnsi" w:hAnsiTheme="minorHAnsi"/>
        </w:rPr>
        <w:footnoteReference w:id="38"/>
      </w:r>
      <w:r w:rsidR="0008376B" w:rsidRPr="00A11DAA">
        <w:rPr>
          <w:rFonts w:asciiTheme="minorHAnsi" w:hAnsiTheme="minorHAnsi"/>
        </w:rPr>
        <w:t xml:space="preserve"> </w:t>
      </w:r>
      <w:r w:rsidR="00537D22" w:rsidRPr="00A11DAA">
        <w:rPr>
          <w:rFonts w:asciiTheme="minorHAnsi" w:hAnsiTheme="minorHAnsi"/>
        </w:rPr>
        <w:t>RfR4 was therefore entirely appropriate.</w:t>
      </w:r>
      <w:r w:rsidR="00B02392" w:rsidRPr="00A11DAA">
        <w:rPr>
          <w:rFonts w:asciiTheme="minorHAnsi" w:hAnsiTheme="minorHAnsi"/>
        </w:rPr>
        <w:t xml:space="preserve"> </w:t>
      </w:r>
      <w:r w:rsidR="00537D22" w:rsidRPr="00A11DAA">
        <w:rPr>
          <w:rFonts w:asciiTheme="minorHAnsi" w:hAnsiTheme="minorHAnsi"/>
        </w:rPr>
        <w:t>On appeal the Appellant has now sought to bolster its position, submitting additional information for the HRA (“AIHRA”)(02 May 2024)</w:t>
      </w:r>
      <w:r w:rsidR="00537D22" w:rsidRPr="00A11DAA">
        <w:rPr>
          <w:rStyle w:val="FootnoteReference"/>
          <w:rFonts w:asciiTheme="minorHAnsi" w:hAnsiTheme="minorHAnsi"/>
        </w:rPr>
        <w:footnoteReference w:id="39"/>
      </w:r>
      <w:r w:rsidR="00182F97" w:rsidRPr="00A11DAA">
        <w:rPr>
          <w:rFonts w:asciiTheme="minorHAnsi" w:hAnsiTheme="minorHAnsi"/>
        </w:rPr>
        <w:t xml:space="preserve"> and various responses to the objections made</w:t>
      </w:r>
      <w:r w:rsidR="0094223A" w:rsidRPr="00A11DAA">
        <w:rPr>
          <w:rFonts w:asciiTheme="minorHAnsi" w:hAnsiTheme="minorHAnsi"/>
        </w:rPr>
        <w:t>.</w:t>
      </w:r>
      <w:r w:rsidR="00182F97" w:rsidRPr="00A11DAA">
        <w:rPr>
          <w:rStyle w:val="FootnoteReference"/>
          <w:rFonts w:asciiTheme="minorHAnsi" w:hAnsiTheme="minorHAnsi"/>
        </w:rPr>
        <w:footnoteReference w:id="40"/>
      </w:r>
      <w:r w:rsidR="0094223A" w:rsidRPr="00A11DAA">
        <w:rPr>
          <w:rFonts w:asciiTheme="minorHAnsi" w:hAnsiTheme="minorHAnsi"/>
        </w:rPr>
        <w:t xml:space="preserve"> The Appellant’s mitigation strategy is set out in Table 7.2 of the Ecology Topic Paper.</w:t>
      </w:r>
    </w:p>
    <w:p w14:paraId="1A8F30CF" w14:textId="54E4D72F" w:rsidR="00B02392" w:rsidRPr="00A11DAA" w:rsidRDefault="00B02392" w:rsidP="00B02392">
      <w:pPr>
        <w:pStyle w:val="ListParagraph"/>
        <w:spacing w:line="360" w:lineRule="auto"/>
        <w:jc w:val="both"/>
        <w:rPr>
          <w:rFonts w:asciiTheme="minorHAnsi" w:hAnsiTheme="minorHAnsi"/>
        </w:rPr>
      </w:pPr>
    </w:p>
    <w:p w14:paraId="4EF75835" w14:textId="791BF3C1" w:rsidR="009047DF" w:rsidRPr="00A11DAA" w:rsidRDefault="002B10BD"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It appears that there may be some difference between the parties in relation to the</w:t>
      </w:r>
      <w:r w:rsidR="009047DF" w:rsidRPr="00A11DAA">
        <w:rPr>
          <w:rFonts w:asciiTheme="minorHAnsi" w:hAnsiTheme="minorHAnsi"/>
        </w:rPr>
        <w:t xml:space="preserve"> legal requirements for an appropriate assessment. In Dr Brookbank’s rebuttal para 1.9, she extracts a part of the Court of Appeal’s decision in </w:t>
      </w:r>
      <w:r w:rsidR="009047DF" w:rsidRPr="00A11DAA">
        <w:rPr>
          <w:rFonts w:asciiTheme="minorHAnsi" w:hAnsiTheme="minorHAnsi"/>
          <w:b/>
          <w:bCs/>
          <w:i/>
          <w:iCs/>
        </w:rPr>
        <w:t>R (Boggis) v Natural England</w:t>
      </w:r>
      <w:r w:rsidR="009047DF" w:rsidRPr="00A11DAA">
        <w:rPr>
          <w:rFonts w:asciiTheme="minorHAnsi" w:hAnsiTheme="minorHAnsi"/>
        </w:rPr>
        <w:t xml:space="preserve"> [2009] EWCA Civ 1061 </w:t>
      </w:r>
      <w:r w:rsidR="00681BB2" w:rsidRPr="00A11DAA">
        <w:rPr>
          <w:rFonts w:asciiTheme="minorHAnsi" w:hAnsiTheme="minorHAnsi"/>
        </w:rPr>
        <w:t xml:space="preserve">[37] which </w:t>
      </w:r>
      <w:r w:rsidR="00681BB2" w:rsidRPr="00A11DAA">
        <w:rPr>
          <w:rFonts w:asciiTheme="minorHAnsi" w:hAnsiTheme="minorHAnsi"/>
          <w:i/>
          <w:iCs/>
        </w:rPr>
        <w:t>might</w:t>
      </w:r>
      <w:r w:rsidR="00681BB2" w:rsidRPr="00A11DAA">
        <w:rPr>
          <w:rFonts w:asciiTheme="minorHAnsi" w:hAnsiTheme="minorHAnsi"/>
        </w:rPr>
        <w:t xml:space="preserve"> give the impression that </w:t>
      </w:r>
      <w:r w:rsidR="006E3A01" w:rsidRPr="00A11DAA">
        <w:rPr>
          <w:rFonts w:asciiTheme="minorHAnsi" w:hAnsiTheme="minorHAnsi"/>
        </w:rPr>
        <w:t>any party indicating a risk should be assessed in an HRA must produce “</w:t>
      </w:r>
      <w:r w:rsidR="006E3A01" w:rsidRPr="00A11DAA">
        <w:rPr>
          <w:rFonts w:asciiTheme="minorHAnsi" w:hAnsiTheme="minorHAnsi"/>
          <w:i/>
          <w:iCs/>
        </w:rPr>
        <w:t>credible evidence that there [is] a real, rather than a hypothetical, risk</w:t>
      </w:r>
      <w:r w:rsidR="006E3A01" w:rsidRPr="00A11DAA">
        <w:rPr>
          <w:rFonts w:asciiTheme="minorHAnsi" w:hAnsiTheme="minorHAnsi"/>
        </w:rPr>
        <w:t xml:space="preserve">”. </w:t>
      </w:r>
      <w:r w:rsidR="00AD49DB" w:rsidRPr="00A11DAA">
        <w:rPr>
          <w:rFonts w:asciiTheme="minorHAnsi" w:hAnsiTheme="minorHAnsi"/>
        </w:rPr>
        <w:t xml:space="preserve"> </w:t>
      </w:r>
      <w:r w:rsidR="006E3A01" w:rsidRPr="00A11DAA">
        <w:rPr>
          <w:rFonts w:asciiTheme="minorHAnsi" w:hAnsiTheme="minorHAnsi"/>
          <w:b/>
          <w:bCs/>
          <w:i/>
          <w:iCs/>
        </w:rPr>
        <w:t>Boggis</w:t>
      </w:r>
      <w:r w:rsidR="006E3A01" w:rsidRPr="00A11DAA">
        <w:rPr>
          <w:rFonts w:asciiTheme="minorHAnsi" w:hAnsiTheme="minorHAnsi"/>
        </w:rPr>
        <w:t xml:space="preserve"> however was in a different context, where the Court of Appeal was considering a third party’s attempt </w:t>
      </w:r>
      <w:r w:rsidR="00CC3B44" w:rsidRPr="00A11DAA">
        <w:rPr>
          <w:rFonts w:asciiTheme="minorHAnsi" w:hAnsiTheme="minorHAnsi"/>
        </w:rPr>
        <w:t xml:space="preserve">in legal proceedings </w:t>
      </w:r>
      <w:r w:rsidR="006E3A01" w:rsidRPr="00A11DAA">
        <w:rPr>
          <w:rFonts w:asciiTheme="minorHAnsi" w:hAnsiTheme="minorHAnsi"/>
        </w:rPr>
        <w:t>to impugn a completed appropriate assessment, after the grant of permission, by suggesting something else should have been considered.</w:t>
      </w:r>
      <w:r w:rsidR="006F29F4" w:rsidRPr="00A11DAA">
        <w:rPr>
          <w:rFonts w:asciiTheme="minorHAnsi" w:hAnsiTheme="minorHAnsi"/>
        </w:rPr>
        <w:t xml:space="preserve"> </w:t>
      </w:r>
      <w:r w:rsidR="009D121F" w:rsidRPr="00A11DAA">
        <w:rPr>
          <w:rFonts w:asciiTheme="minorHAnsi" w:hAnsiTheme="minorHAnsi"/>
        </w:rPr>
        <w:t xml:space="preserve">This is clear from </w:t>
      </w:r>
      <w:r w:rsidR="00AD49DB" w:rsidRPr="00A11DAA">
        <w:rPr>
          <w:rFonts w:asciiTheme="minorHAnsi" w:hAnsiTheme="minorHAnsi"/>
        </w:rPr>
        <w:t xml:space="preserve">[35]-[38]. </w:t>
      </w:r>
      <w:r w:rsidR="00D00E5E" w:rsidRPr="00A11DAA">
        <w:rPr>
          <w:rFonts w:asciiTheme="minorHAnsi" w:hAnsiTheme="minorHAnsi"/>
        </w:rPr>
        <w:t>The threshold for whether there is a need for an appropriate assessment is very low – colloquially “should we bother to check”</w:t>
      </w:r>
      <w:r w:rsidR="00D00E5E" w:rsidRPr="00A11DAA">
        <w:rPr>
          <w:rStyle w:val="FootnoteReference"/>
          <w:rFonts w:asciiTheme="minorHAnsi" w:hAnsiTheme="minorHAnsi"/>
        </w:rPr>
        <w:footnoteReference w:id="41"/>
      </w:r>
      <w:r w:rsidR="00FA0484" w:rsidRPr="00A11DAA">
        <w:rPr>
          <w:rFonts w:asciiTheme="minorHAnsi" w:hAnsiTheme="minorHAnsi"/>
        </w:rPr>
        <w:t xml:space="preserve"> – and that arises if </w:t>
      </w:r>
      <w:r w:rsidR="00516D93" w:rsidRPr="00A11DAA">
        <w:rPr>
          <w:rFonts w:asciiTheme="minorHAnsi" w:hAnsiTheme="minorHAnsi"/>
        </w:rPr>
        <w:t>a risk of significant effects</w:t>
      </w:r>
      <w:r w:rsidR="00FA0484" w:rsidRPr="00A11DAA">
        <w:rPr>
          <w:rFonts w:asciiTheme="minorHAnsi" w:hAnsiTheme="minorHAnsi"/>
        </w:rPr>
        <w:t xml:space="preserve"> cannot be </w:t>
      </w:r>
      <w:r w:rsidR="00FA0484" w:rsidRPr="00A11DAA">
        <w:rPr>
          <w:rFonts w:asciiTheme="minorHAnsi" w:hAnsiTheme="minorHAnsi"/>
        </w:rPr>
        <w:lastRenderedPageBreak/>
        <w:t>excluded on the basis of objective informatio</w:t>
      </w:r>
      <w:r w:rsidR="00E01C28" w:rsidRPr="00A11DAA">
        <w:rPr>
          <w:rFonts w:asciiTheme="minorHAnsi" w:hAnsiTheme="minorHAnsi"/>
        </w:rPr>
        <w:t>n</w:t>
      </w:r>
      <w:r w:rsidR="005A65C5" w:rsidRPr="00A11DAA">
        <w:rPr>
          <w:rStyle w:val="FootnoteReference"/>
          <w:rFonts w:asciiTheme="minorHAnsi" w:hAnsiTheme="minorHAnsi"/>
        </w:rPr>
        <w:footnoteReference w:id="42"/>
      </w:r>
      <w:r w:rsidR="00E01C28" w:rsidRPr="00A11DAA">
        <w:rPr>
          <w:rFonts w:asciiTheme="minorHAnsi" w:hAnsiTheme="minorHAnsi"/>
        </w:rPr>
        <w:t xml:space="preserve"> or if there is any doubt as to the absence of significant </w:t>
      </w:r>
      <w:r w:rsidR="009C75EB" w:rsidRPr="00A11DAA">
        <w:rPr>
          <w:rFonts w:asciiTheme="minorHAnsi" w:hAnsiTheme="minorHAnsi"/>
        </w:rPr>
        <w:t xml:space="preserve">effects. </w:t>
      </w:r>
      <w:r w:rsidR="00AE0913" w:rsidRPr="00A11DAA">
        <w:rPr>
          <w:rFonts w:asciiTheme="minorHAnsi" w:hAnsiTheme="minorHAnsi"/>
        </w:rPr>
        <w:t xml:space="preserve">Once an AA is undertaken, it cannot have </w:t>
      </w:r>
      <w:r w:rsidRPr="00A11DAA">
        <w:rPr>
          <w:rFonts w:asciiTheme="minorHAnsi" w:hAnsiTheme="minorHAnsi"/>
        </w:rPr>
        <w:t xml:space="preserve">omissions </w:t>
      </w:r>
      <w:r w:rsidR="00AE0913" w:rsidRPr="00A11DAA">
        <w:rPr>
          <w:rFonts w:asciiTheme="minorHAnsi" w:hAnsiTheme="minorHAnsi"/>
        </w:rPr>
        <w:t>and must contain “complete, precise and definitive findings and conclusions capable of removing all reasonable scientific doubt as to the effects of the works proposed on the protected site concerned”</w:t>
      </w:r>
      <w:r w:rsidR="00AE0913" w:rsidRPr="00A11DAA">
        <w:rPr>
          <w:rStyle w:val="FootnoteReference"/>
          <w:rFonts w:asciiTheme="minorHAnsi" w:hAnsiTheme="minorHAnsi"/>
        </w:rPr>
        <w:t xml:space="preserve"> </w:t>
      </w:r>
      <w:r w:rsidR="00AE0913" w:rsidRPr="00A11DAA">
        <w:rPr>
          <w:rStyle w:val="FootnoteReference"/>
          <w:rFonts w:asciiTheme="minorHAnsi" w:hAnsiTheme="minorHAnsi"/>
        </w:rPr>
        <w:footnoteReference w:id="43"/>
      </w:r>
      <w:r w:rsidR="00AE0913" w:rsidRPr="00A11DAA">
        <w:rPr>
          <w:rFonts w:asciiTheme="minorHAnsi" w:hAnsiTheme="minorHAnsi"/>
        </w:rPr>
        <w:t xml:space="preserve">. </w:t>
      </w:r>
    </w:p>
    <w:p w14:paraId="569C7FDA" w14:textId="77777777" w:rsidR="008A0FFE" w:rsidRPr="00A11DAA" w:rsidRDefault="008A0FFE" w:rsidP="008A0FFE">
      <w:pPr>
        <w:pStyle w:val="ListParagraph"/>
        <w:rPr>
          <w:rFonts w:asciiTheme="minorHAnsi" w:hAnsiTheme="minorHAnsi"/>
        </w:rPr>
      </w:pPr>
    </w:p>
    <w:p w14:paraId="5C2EE4AA" w14:textId="2F4B1A08" w:rsidR="00E85A69" w:rsidRPr="00A11DAA" w:rsidRDefault="00A570EE"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Against that stringent background, you will be invited to find, for the reasons set out in Mr Lang’s proof of evidence, that the Appellant has not demonstrated you can safely conclude there will be no adverse effect on the integrity of any of the sites in issue.</w:t>
      </w:r>
    </w:p>
    <w:p w14:paraId="06FD5EB5" w14:textId="77777777" w:rsidR="001E37DF" w:rsidRPr="00A11DAA" w:rsidRDefault="001E37DF" w:rsidP="001E37DF">
      <w:pPr>
        <w:spacing w:line="360" w:lineRule="auto"/>
        <w:jc w:val="both"/>
        <w:rPr>
          <w:rFonts w:asciiTheme="minorHAnsi" w:hAnsiTheme="minorHAnsi"/>
        </w:rPr>
      </w:pPr>
    </w:p>
    <w:p w14:paraId="6CC12557" w14:textId="4E4F5D87" w:rsidR="006943B7" w:rsidRPr="00A11DAA" w:rsidRDefault="006943B7" w:rsidP="004431F5">
      <w:pPr>
        <w:jc w:val="both"/>
        <w:rPr>
          <w:rFonts w:asciiTheme="minorHAnsi" w:hAnsiTheme="minorHAnsi"/>
          <w:b/>
          <w:bCs/>
          <w:u w:val="single"/>
        </w:rPr>
      </w:pPr>
      <w:r w:rsidRPr="00A11DAA">
        <w:rPr>
          <w:rFonts w:asciiTheme="minorHAnsi" w:hAnsiTheme="minorHAnsi"/>
          <w:b/>
          <w:bCs/>
          <w:u w:val="single"/>
        </w:rPr>
        <w:t>Issue 10(iii)</w:t>
      </w:r>
      <w:r w:rsidRPr="00A11DAA">
        <w:rPr>
          <w:rFonts w:asciiTheme="minorHAnsi" w:hAnsiTheme="minorHAnsi"/>
          <w:u w:val="single"/>
        </w:rPr>
        <w:t xml:space="preserve"> </w:t>
      </w:r>
      <w:r w:rsidRPr="00A11DAA">
        <w:rPr>
          <w:rFonts w:asciiTheme="minorHAnsi" w:hAnsiTheme="minorHAnsi"/>
          <w:b/>
          <w:bCs/>
          <w:u w:val="single"/>
        </w:rPr>
        <w:t>Whether the proposed local centre would be suitably located and adequate to serve the development, and whether its impact on other centres would be acceptable.</w:t>
      </w:r>
    </w:p>
    <w:p w14:paraId="42FEC1E9" w14:textId="77777777" w:rsidR="00DB4B6E" w:rsidRPr="00A11DAA" w:rsidRDefault="00DB4B6E">
      <w:pPr>
        <w:rPr>
          <w:rFonts w:asciiTheme="minorHAnsi" w:hAnsiTheme="minorHAnsi"/>
          <w:b/>
          <w:bCs/>
          <w:u w:val="single"/>
        </w:rPr>
      </w:pPr>
    </w:p>
    <w:p w14:paraId="1C590214" w14:textId="5137A8CC" w:rsidR="00F44728" w:rsidRPr="00A11DAA" w:rsidRDefault="00BF13F3"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The </w:t>
      </w:r>
      <w:r w:rsidR="00EC071B" w:rsidRPr="00A11DAA">
        <w:rPr>
          <w:rFonts w:asciiTheme="minorHAnsi" w:hAnsiTheme="minorHAnsi"/>
        </w:rPr>
        <w:t xml:space="preserve"> Council’s Alternative Local Centre (“ALC”)</w:t>
      </w:r>
      <w:r w:rsidR="00DA4B3D" w:rsidRPr="00A11DAA">
        <w:rPr>
          <w:rStyle w:val="FootnoteReference"/>
          <w:rFonts w:asciiTheme="minorHAnsi" w:hAnsiTheme="minorHAnsi"/>
        </w:rPr>
        <w:footnoteReference w:id="44"/>
      </w:r>
      <w:r w:rsidR="00EC071B" w:rsidRPr="00A11DAA">
        <w:rPr>
          <w:rFonts w:asciiTheme="minorHAnsi" w:hAnsiTheme="minorHAnsi"/>
        </w:rPr>
        <w:t xml:space="preserve"> is </w:t>
      </w:r>
      <w:r w:rsidRPr="00A11DAA">
        <w:rPr>
          <w:rFonts w:asciiTheme="minorHAnsi" w:hAnsiTheme="minorHAnsi"/>
        </w:rPr>
        <w:t xml:space="preserve">better located </w:t>
      </w:r>
      <w:r w:rsidR="00EC071B" w:rsidRPr="00A11DAA">
        <w:rPr>
          <w:rFonts w:asciiTheme="minorHAnsi" w:hAnsiTheme="minorHAnsi"/>
        </w:rPr>
        <w:t>than the Appellant’s Proposed Local Centre</w:t>
      </w:r>
      <w:r w:rsidR="00037ED3" w:rsidRPr="00A11DAA">
        <w:rPr>
          <w:rFonts w:asciiTheme="minorHAnsi" w:hAnsiTheme="minorHAnsi"/>
        </w:rPr>
        <w:t xml:space="preserve"> (“PLC”)</w:t>
      </w:r>
      <w:r w:rsidR="00037ED3" w:rsidRPr="00A11DAA">
        <w:rPr>
          <w:rStyle w:val="FootnoteReference"/>
          <w:rFonts w:asciiTheme="minorHAnsi" w:hAnsiTheme="minorHAnsi"/>
        </w:rPr>
        <w:footnoteReference w:id="45"/>
      </w:r>
      <w:r w:rsidRPr="00A11DAA">
        <w:rPr>
          <w:rFonts w:asciiTheme="minorHAnsi" w:hAnsiTheme="minorHAnsi"/>
        </w:rPr>
        <w:t xml:space="preserve">; and the justification for </w:t>
      </w:r>
      <w:r w:rsidR="00037ED3" w:rsidRPr="00A11DAA">
        <w:rPr>
          <w:rFonts w:asciiTheme="minorHAnsi" w:hAnsiTheme="minorHAnsi"/>
        </w:rPr>
        <w:t xml:space="preserve">the PLC </w:t>
      </w:r>
      <w:r w:rsidRPr="00A11DAA">
        <w:rPr>
          <w:rFonts w:asciiTheme="minorHAnsi" w:hAnsiTheme="minorHAnsi"/>
        </w:rPr>
        <w:t>location seems to have come late</w:t>
      </w:r>
      <w:r w:rsidR="00403552" w:rsidRPr="00A11DAA">
        <w:rPr>
          <w:rFonts w:asciiTheme="minorHAnsi" w:hAnsiTheme="minorHAnsi"/>
        </w:rPr>
        <w:t xml:space="preserve">. </w:t>
      </w:r>
      <w:r w:rsidR="000D2A5A" w:rsidRPr="00A11DAA">
        <w:rPr>
          <w:rFonts w:asciiTheme="minorHAnsi" w:hAnsiTheme="minorHAnsi"/>
        </w:rPr>
        <w:t>B</w:t>
      </w:r>
      <w:r w:rsidR="00711C65" w:rsidRPr="00A11DAA">
        <w:rPr>
          <w:rFonts w:asciiTheme="minorHAnsi" w:hAnsiTheme="minorHAnsi"/>
        </w:rPr>
        <w:t xml:space="preserve">oth sit </w:t>
      </w:r>
      <w:r w:rsidR="00EC1537" w:rsidRPr="00A11DAA">
        <w:rPr>
          <w:rFonts w:asciiTheme="minorHAnsi" w:hAnsiTheme="minorHAnsi"/>
        </w:rPr>
        <w:t>near</w:t>
      </w:r>
      <w:r w:rsidR="00711C65" w:rsidRPr="00A11DAA">
        <w:rPr>
          <w:rFonts w:asciiTheme="minorHAnsi" w:hAnsiTheme="minorHAnsi"/>
        </w:rPr>
        <w:t xml:space="preserve"> to the Spine Road</w:t>
      </w:r>
      <w:r w:rsidR="003C1F89" w:rsidRPr="00A11DAA">
        <w:rPr>
          <w:rFonts w:asciiTheme="minorHAnsi" w:hAnsiTheme="minorHAnsi"/>
        </w:rPr>
        <w:t>,</w:t>
      </w:r>
      <w:r w:rsidR="00711C65" w:rsidRPr="00A11DAA">
        <w:rPr>
          <w:rStyle w:val="FootnoteReference"/>
          <w:rFonts w:asciiTheme="minorHAnsi" w:hAnsiTheme="minorHAnsi"/>
        </w:rPr>
        <w:footnoteReference w:id="46"/>
      </w:r>
      <w:r w:rsidR="003C1F89" w:rsidRPr="00A11DAA">
        <w:rPr>
          <w:rFonts w:asciiTheme="minorHAnsi" w:hAnsiTheme="minorHAnsi"/>
        </w:rPr>
        <w:t xml:space="preserve"> both could be located close to the (currently unfixed) care/sheltered accommodation</w:t>
      </w:r>
      <w:r w:rsidR="00371ADD" w:rsidRPr="00A11DAA">
        <w:rPr>
          <w:rFonts w:asciiTheme="minorHAnsi" w:hAnsiTheme="minorHAnsi"/>
        </w:rPr>
        <w:t>,</w:t>
      </w:r>
      <w:r w:rsidR="003C1F89" w:rsidRPr="00A11DAA">
        <w:rPr>
          <w:rStyle w:val="FootnoteReference"/>
          <w:rFonts w:asciiTheme="minorHAnsi" w:hAnsiTheme="minorHAnsi"/>
        </w:rPr>
        <w:footnoteReference w:id="47"/>
      </w:r>
      <w:r w:rsidR="00371ADD" w:rsidRPr="00A11DAA">
        <w:rPr>
          <w:rFonts w:asciiTheme="minorHAnsi" w:hAnsiTheme="minorHAnsi"/>
        </w:rPr>
        <w:t xml:space="preserve"> </w:t>
      </w:r>
      <w:r w:rsidR="000D2A5A" w:rsidRPr="00A11DAA">
        <w:rPr>
          <w:rFonts w:asciiTheme="minorHAnsi" w:hAnsiTheme="minorHAnsi"/>
        </w:rPr>
        <w:t xml:space="preserve">AND </w:t>
      </w:r>
      <w:r w:rsidR="00143C65" w:rsidRPr="00A11DAA">
        <w:rPr>
          <w:rFonts w:asciiTheme="minorHAnsi" w:hAnsiTheme="minorHAnsi"/>
        </w:rPr>
        <w:t>both are located at bus stops</w:t>
      </w:r>
      <w:r w:rsidR="000D2A5A" w:rsidRPr="00A11DAA">
        <w:rPr>
          <w:rFonts w:asciiTheme="minorHAnsi" w:hAnsiTheme="minorHAnsi"/>
        </w:rPr>
        <w:t>.</w:t>
      </w:r>
      <w:r w:rsidR="00143C65" w:rsidRPr="00A11DAA">
        <w:rPr>
          <w:rStyle w:val="FootnoteReference"/>
          <w:rFonts w:asciiTheme="minorHAnsi" w:hAnsiTheme="minorHAnsi"/>
        </w:rPr>
        <w:footnoteReference w:id="48"/>
      </w:r>
      <w:r w:rsidR="000D2A5A" w:rsidRPr="00A11DAA">
        <w:rPr>
          <w:rFonts w:asciiTheme="minorHAnsi" w:hAnsiTheme="minorHAnsi"/>
        </w:rPr>
        <w:t xml:space="preserve"> However,</w:t>
      </w:r>
      <w:r w:rsidR="00143C65" w:rsidRPr="00A11DAA">
        <w:rPr>
          <w:rFonts w:asciiTheme="minorHAnsi" w:hAnsiTheme="minorHAnsi"/>
        </w:rPr>
        <w:t xml:space="preserve"> </w:t>
      </w:r>
      <w:r w:rsidR="00A52E01" w:rsidRPr="00A11DAA">
        <w:rPr>
          <w:rFonts w:asciiTheme="minorHAnsi" w:hAnsiTheme="minorHAnsi"/>
        </w:rPr>
        <w:t xml:space="preserve">the ALC </w:t>
      </w:r>
      <w:r w:rsidR="00021729" w:rsidRPr="00A11DAA">
        <w:rPr>
          <w:rFonts w:asciiTheme="minorHAnsi" w:hAnsiTheme="minorHAnsi"/>
        </w:rPr>
        <w:t>has shorter walking distances for large portions</w:t>
      </w:r>
      <w:r w:rsidR="00403552" w:rsidRPr="00A11DAA">
        <w:rPr>
          <w:rFonts w:asciiTheme="minorHAnsi" w:hAnsiTheme="minorHAnsi"/>
        </w:rPr>
        <w:t xml:space="preserve"> Alderholt</w:t>
      </w:r>
      <w:r w:rsidR="00021729" w:rsidRPr="00A11DAA">
        <w:rPr>
          <w:rFonts w:asciiTheme="minorHAnsi" w:hAnsiTheme="minorHAnsi"/>
        </w:rPr>
        <w:t xml:space="preserve"> (particularly the existing portion)</w:t>
      </w:r>
      <w:r w:rsidR="004C1C1E" w:rsidRPr="00A11DAA">
        <w:rPr>
          <w:rFonts w:asciiTheme="minorHAnsi" w:hAnsiTheme="minorHAnsi"/>
        </w:rPr>
        <w:t>,</w:t>
      </w:r>
      <w:r w:rsidR="00403552" w:rsidRPr="00A11DAA">
        <w:rPr>
          <w:rStyle w:val="FootnoteReference"/>
          <w:rFonts w:asciiTheme="minorHAnsi" w:hAnsiTheme="minorHAnsi"/>
        </w:rPr>
        <w:footnoteReference w:id="49"/>
      </w:r>
      <w:r w:rsidR="004C1C1E" w:rsidRPr="00A11DAA">
        <w:rPr>
          <w:rFonts w:asciiTheme="minorHAnsi" w:hAnsiTheme="minorHAnsi"/>
        </w:rPr>
        <w:t xml:space="preserve"> is closer to areas of play</w:t>
      </w:r>
      <w:r w:rsidR="008D2E11" w:rsidRPr="00A11DAA">
        <w:rPr>
          <w:rFonts w:asciiTheme="minorHAnsi" w:hAnsiTheme="minorHAnsi"/>
        </w:rPr>
        <w:t>,</w:t>
      </w:r>
      <w:r w:rsidR="004C1C1E" w:rsidRPr="00A11DAA">
        <w:rPr>
          <w:rStyle w:val="FootnoteReference"/>
          <w:rFonts w:asciiTheme="minorHAnsi" w:hAnsiTheme="minorHAnsi"/>
        </w:rPr>
        <w:footnoteReference w:id="50"/>
      </w:r>
      <w:r w:rsidR="00631001" w:rsidRPr="00A11DAA">
        <w:rPr>
          <w:rFonts w:asciiTheme="minorHAnsi" w:hAnsiTheme="minorHAnsi"/>
        </w:rPr>
        <w:t xml:space="preserve"> and</w:t>
      </w:r>
      <w:r w:rsidR="008D2E11" w:rsidRPr="00A11DAA">
        <w:rPr>
          <w:rFonts w:asciiTheme="minorHAnsi" w:hAnsiTheme="minorHAnsi"/>
        </w:rPr>
        <w:t xml:space="preserve"> is closer to the </w:t>
      </w:r>
      <w:r w:rsidR="00195A76" w:rsidRPr="00A11DAA">
        <w:rPr>
          <w:rFonts w:asciiTheme="minorHAnsi" w:hAnsiTheme="minorHAnsi"/>
        </w:rPr>
        <w:t>main road network that takes passing trade through the village</w:t>
      </w:r>
      <w:r w:rsidR="00631001" w:rsidRPr="00A11DAA">
        <w:rPr>
          <w:rFonts w:asciiTheme="minorHAnsi" w:hAnsiTheme="minorHAnsi"/>
        </w:rPr>
        <w:t>.</w:t>
      </w:r>
      <w:r w:rsidR="00195A76" w:rsidRPr="00A11DAA">
        <w:rPr>
          <w:rStyle w:val="FootnoteReference"/>
          <w:rFonts w:asciiTheme="minorHAnsi" w:hAnsiTheme="minorHAnsi"/>
        </w:rPr>
        <w:footnoteReference w:id="51"/>
      </w:r>
      <w:r w:rsidR="00631001" w:rsidRPr="00A11DAA">
        <w:rPr>
          <w:rFonts w:asciiTheme="minorHAnsi" w:hAnsiTheme="minorHAnsi"/>
        </w:rPr>
        <w:t xml:space="preserve"> </w:t>
      </w:r>
      <w:r w:rsidR="004B3C87" w:rsidRPr="00A11DAA">
        <w:rPr>
          <w:rFonts w:asciiTheme="minorHAnsi" w:hAnsiTheme="minorHAnsi"/>
        </w:rPr>
        <w:t xml:space="preserve"> </w:t>
      </w:r>
      <w:r w:rsidR="004679F0" w:rsidRPr="00A11DAA">
        <w:rPr>
          <w:rFonts w:asciiTheme="minorHAnsi" w:hAnsiTheme="minorHAnsi"/>
        </w:rPr>
        <w:t xml:space="preserve">The current proposal therefore is not optimised to accommodate and sustain and appropriate mix of development as required by the NPPF, and </w:t>
      </w:r>
      <w:r w:rsidRPr="00A11DAA">
        <w:rPr>
          <w:rFonts w:asciiTheme="minorHAnsi" w:hAnsiTheme="minorHAnsi"/>
        </w:rPr>
        <w:t xml:space="preserve">as such, </w:t>
      </w:r>
      <w:r w:rsidR="004679F0" w:rsidRPr="00A11DAA">
        <w:rPr>
          <w:rFonts w:asciiTheme="minorHAnsi" w:hAnsiTheme="minorHAnsi"/>
        </w:rPr>
        <w:t xml:space="preserve">the Council’s RfR 3 </w:t>
      </w:r>
      <w:r w:rsidRPr="00A11DAA">
        <w:rPr>
          <w:rFonts w:asciiTheme="minorHAnsi" w:hAnsiTheme="minorHAnsi"/>
        </w:rPr>
        <w:t>is</w:t>
      </w:r>
      <w:r w:rsidR="004679F0" w:rsidRPr="00A11DAA">
        <w:rPr>
          <w:rFonts w:asciiTheme="minorHAnsi" w:hAnsiTheme="minorHAnsi"/>
        </w:rPr>
        <w:t xml:space="preserve"> right.</w:t>
      </w:r>
    </w:p>
    <w:p w14:paraId="2CBF507C" w14:textId="285F1EC7" w:rsidR="00904D37" w:rsidRPr="00A11DAA" w:rsidRDefault="00904D37" w:rsidP="00904D37">
      <w:pPr>
        <w:pStyle w:val="ListParagraph"/>
        <w:spacing w:line="360" w:lineRule="auto"/>
        <w:jc w:val="both"/>
        <w:rPr>
          <w:rFonts w:asciiTheme="minorHAnsi" w:hAnsiTheme="minorHAnsi"/>
        </w:rPr>
      </w:pPr>
    </w:p>
    <w:p w14:paraId="0E3D73DE" w14:textId="5BFAB9DE" w:rsidR="00904D37" w:rsidRPr="00A11DAA" w:rsidRDefault="004431F5"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lastRenderedPageBreak/>
        <w:t xml:space="preserve">In relation to retail, </w:t>
      </w:r>
      <w:r w:rsidR="00A26960" w:rsidRPr="00A11DAA">
        <w:rPr>
          <w:rFonts w:asciiTheme="minorHAnsi" w:hAnsiTheme="minorHAnsi"/>
        </w:rPr>
        <w:t xml:space="preserve">as it was originally submitted the application was not covered by a </w:t>
      </w:r>
      <w:r w:rsidR="001011DD" w:rsidRPr="00A11DAA">
        <w:rPr>
          <w:rFonts w:asciiTheme="minorHAnsi" w:hAnsiTheme="minorHAnsi"/>
        </w:rPr>
        <w:t>sequential or retail impact assessment contrary to Policy KS7 and</w:t>
      </w:r>
      <w:r w:rsidR="00165E60" w:rsidRPr="00A11DAA">
        <w:rPr>
          <w:rFonts w:asciiTheme="minorHAnsi" w:hAnsiTheme="minorHAnsi"/>
        </w:rPr>
        <w:t xml:space="preserve"> NPPF/</w:t>
      </w:r>
      <w:r w:rsidR="000A63AC" w:rsidRPr="00A11DAA">
        <w:rPr>
          <w:rFonts w:asciiTheme="minorHAnsi" w:hAnsiTheme="minorHAnsi"/>
        </w:rPr>
        <w:t>91-95</w:t>
      </w:r>
      <w:r w:rsidR="001011DD" w:rsidRPr="00A11DAA">
        <w:rPr>
          <w:rFonts w:asciiTheme="minorHAnsi" w:hAnsiTheme="minorHAnsi"/>
        </w:rPr>
        <w:t xml:space="preserve">. RfR 5 was therefore entirely correct. The RISTA </w:t>
      </w:r>
      <w:r w:rsidR="001011DD" w:rsidRPr="00A11DAA">
        <w:rPr>
          <w:rFonts w:asciiTheme="minorHAnsi" w:hAnsiTheme="minorHAnsi"/>
          <w:i/>
          <w:iCs/>
        </w:rPr>
        <w:t>has</w:t>
      </w:r>
      <w:r w:rsidR="001011DD" w:rsidRPr="00A11DAA">
        <w:rPr>
          <w:rFonts w:asciiTheme="minorHAnsi" w:hAnsiTheme="minorHAnsi"/>
        </w:rPr>
        <w:t xml:space="preserve"> now been provided</w:t>
      </w:r>
      <w:r w:rsidR="00046C79" w:rsidRPr="00A11DAA">
        <w:rPr>
          <w:rStyle w:val="FootnoteReference"/>
          <w:rFonts w:asciiTheme="minorHAnsi" w:hAnsiTheme="minorHAnsi"/>
        </w:rPr>
        <w:footnoteReference w:id="52"/>
      </w:r>
      <w:r w:rsidR="001011DD" w:rsidRPr="00A11DAA">
        <w:rPr>
          <w:rFonts w:asciiTheme="minorHAnsi" w:hAnsiTheme="minorHAnsi"/>
        </w:rPr>
        <w:t xml:space="preserve"> and assessed</w:t>
      </w:r>
      <w:r w:rsidR="00592FBD" w:rsidRPr="00A11DAA">
        <w:rPr>
          <w:rFonts w:asciiTheme="minorHAnsi" w:hAnsiTheme="minorHAnsi"/>
        </w:rPr>
        <w:t xml:space="preserve"> in the ARISTA</w:t>
      </w:r>
      <w:r w:rsidR="00487CAF" w:rsidRPr="00A11DAA">
        <w:rPr>
          <w:rFonts w:asciiTheme="minorHAnsi" w:hAnsiTheme="minorHAnsi"/>
        </w:rPr>
        <w:t>.</w:t>
      </w:r>
      <w:r w:rsidR="00046C79" w:rsidRPr="00A11DAA">
        <w:rPr>
          <w:rStyle w:val="FootnoteReference"/>
          <w:rFonts w:asciiTheme="minorHAnsi" w:hAnsiTheme="minorHAnsi"/>
        </w:rPr>
        <w:footnoteReference w:id="53"/>
      </w:r>
      <w:r w:rsidR="00487CAF" w:rsidRPr="00A11DAA">
        <w:rPr>
          <w:rFonts w:asciiTheme="minorHAnsi" w:hAnsiTheme="minorHAnsi"/>
        </w:rPr>
        <w:t xml:space="preserve"> The Council’s case therefore</w:t>
      </w:r>
      <w:r w:rsidR="003943CF" w:rsidRPr="00A11DAA">
        <w:rPr>
          <w:rFonts w:asciiTheme="minorHAnsi" w:hAnsiTheme="minorHAnsi"/>
        </w:rPr>
        <w:t>, very broadly,</w:t>
      </w:r>
      <w:r w:rsidR="00487CAF" w:rsidRPr="00A11DAA">
        <w:rPr>
          <w:rFonts w:asciiTheme="minorHAnsi" w:hAnsiTheme="minorHAnsi"/>
        </w:rPr>
        <w:t xml:space="preserve"> is this:</w:t>
      </w:r>
    </w:p>
    <w:p w14:paraId="62E2669B" w14:textId="77777777" w:rsidR="00487CAF" w:rsidRPr="00A11DAA" w:rsidRDefault="00487CAF" w:rsidP="00487CAF">
      <w:pPr>
        <w:pStyle w:val="ListParagraph"/>
        <w:rPr>
          <w:rFonts w:asciiTheme="minorHAnsi" w:hAnsiTheme="minorHAnsi"/>
        </w:rPr>
      </w:pPr>
    </w:p>
    <w:p w14:paraId="488CF6BC" w14:textId="02A45FA3" w:rsidR="00487CAF" w:rsidRPr="00A11DAA" w:rsidRDefault="00487CAF" w:rsidP="006050A9">
      <w:pPr>
        <w:pStyle w:val="ListParagraph"/>
        <w:numPr>
          <w:ilvl w:val="1"/>
          <w:numId w:val="9"/>
        </w:numPr>
        <w:spacing w:line="360" w:lineRule="auto"/>
        <w:jc w:val="both"/>
        <w:rPr>
          <w:rFonts w:asciiTheme="minorHAnsi" w:hAnsiTheme="minorHAnsi"/>
        </w:rPr>
      </w:pPr>
      <w:r w:rsidRPr="00A11DAA">
        <w:rPr>
          <w:rFonts w:asciiTheme="minorHAnsi" w:hAnsiTheme="minorHAnsi"/>
        </w:rPr>
        <w:t xml:space="preserve">As a </w:t>
      </w:r>
      <w:r w:rsidR="0023397E" w:rsidRPr="00A11DAA">
        <w:rPr>
          <w:rFonts w:asciiTheme="minorHAnsi" w:hAnsiTheme="minorHAnsi"/>
        </w:rPr>
        <w:t>starting</w:t>
      </w:r>
      <w:r w:rsidRPr="00A11DAA">
        <w:rPr>
          <w:rFonts w:asciiTheme="minorHAnsi" w:hAnsiTheme="minorHAnsi"/>
        </w:rPr>
        <w:t xml:space="preserve"> point,</w:t>
      </w:r>
      <w:r w:rsidR="0029235A" w:rsidRPr="00A11DAA">
        <w:rPr>
          <w:rFonts w:asciiTheme="minorHAnsi" w:hAnsiTheme="minorHAnsi"/>
        </w:rPr>
        <w:t xml:space="preserve"> there is a discrepancy between how the Appellant describes the various town centre uses in its </w:t>
      </w:r>
      <w:r w:rsidR="00BF13F3" w:rsidRPr="00A11DAA">
        <w:rPr>
          <w:rFonts w:asciiTheme="minorHAnsi" w:hAnsiTheme="minorHAnsi"/>
        </w:rPr>
        <w:t xml:space="preserve">submitted </w:t>
      </w:r>
      <w:r w:rsidR="0029235A" w:rsidRPr="00A11DAA">
        <w:rPr>
          <w:rFonts w:asciiTheme="minorHAnsi" w:hAnsiTheme="minorHAnsi"/>
        </w:rPr>
        <w:t>document</w:t>
      </w:r>
      <w:r w:rsidR="00CA532D" w:rsidRPr="00A11DAA">
        <w:rPr>
          <w:rFonts w:asciiTheme="minorHAnsi" w:hAnsiTheme="minorHAnsi"/>
        </w:rPr>
        <w:t>s. There is also a discrepancy in how the Appellant describes its Local Centre Proposal.</w:t>
      </w:r>
      <w:r w:rsidR="00CA532D" w:rsidRPr="00A11DAA">
        <w:rPr>
          <w:rStyle w:val="FootnoteReference"/>
          <w:rFonts w:asciiTheme="minorHAnsi" w:hAnsiTheme="minorHAnsi"/>
        </w:rPr>
        <w:footnoteReference w:id="54"/>
      </w:r>
      <w:r w:rsidR="00CA532D" w:rsidRPr="00A11DAA">
        <w:rPr>
          <w:rFonts w:asciiTheme="minorHAnsi" w:hAnsiTheme="minorHAnsi"/>
        </w:rPr>
        <w:t xml:space="preserve"> </w:t>
      </w:r>
      <w:r w:rsidR="0023397E" w:rsidRPr="00A11DAA">
        <w:rPr>
          <w:rFonts w:asciiTheme="minorHAnsi" w:hAnsiTheme="minorHAnsi"/>
        </w:rPr>
        <w:t xml:space="preserve"> Furthermore, the RITSA itself does suffer from deficiencies,</w:t>
      </w:r>
      <w:r w:rsidR="0023397E" w:rsidRPr="00A11DAA">
        <w:rPr>
          <w:rStyle w:val="FootnoteReference"/>
          <w:rFonts w:asciiTheme="minorHAnsi" w:hAnsiTheme="minorHAnsi"/>
        </w:rPr>
        <w:footnoteReference w:id="55"/>
      </w:r>
      <w:r w:rsidR="0023397E" w:rsidRPr="00A11DAA">
        <w:rPr>
          <w:rFonts w:asciiTheme="minorHAnsi" w:hAnsiTheme="minorHAnsi"/>
        </w:rPr>
        <w:t xml:space="preserve"> including but not limited to its purported sensitivity test. </w:t>
      </w:r>
      <w:r w:rsidR="00CA532D" w:rsidRPr="00A11DAA">
        <w:rPr>
          <w:rFonts w:asciiTheme="minorHAnsi" w:hAnsiTheme="minorHAnsi"/>
        </w:rPr>
        <w:t>A</w:t>
      </w:r>
      <w:r w:rsidR="006F2385" w:rsidRPr="00A11DAA">
        <w:rPr>
          <w:rFonts w:asciiTheme="minorHAnsi" w:hAnsiTheme="minorHAnsi"/>
        </w:rPr>
        <w:t xml:space="preserve">ny </w:t>
      </w:r>
      <w:r w:rsidR="006F7720" w:rsidRPr="00A11DAA">
        <w:rPr>
          <w:rFonts w:asciiTheme="minorHAnsi" w:hAnsiTheme="minorHAnsi"/>
        </w:rPr>
        <w:t xml:space="preserve">main town centre uses that do </w:t>
      </w:r>
      <w:r w:rsidR="006F7720" w:rsidRPr="00A11DAA">
        <w:rPr>
          <w:rFonts w:asciiTheme="minorHAnsi" w:hAnsiTheme="minorHAnsi"/>
          <w:i/>
          <w:iCs/>
        </w:rPr>
        <w:t>not</w:t>
      </w:r>
      <w:r w:rsidR="006F7720" w:rsidRPr="00A11DAA">
        <w:rPr>
          <w:rFonts w:asciiTheme="minorHAnsi" w:hAnsiTheme="minorHAnsi"/>
        </w:rPr>
        <w:t xml:space="preserve"> fall within what the RISTA has assessed, but which the Appellant now seeks permission for, have not been subject to a sequential or retail impact assessment. RfR5 </w:t>
      </w:r>
      <w:r w:rsidR="00E00E21" w:rsidRPr="00A11DAA">
        <w:rPr>
          <w:rFonts w:asciiTheme="minorHAnsi" w:hAnsiTheme="minorHAnsi"/>
        </w:rPr>
        <w:t>would</w:t>
      </w:r>
      <w:r w:rsidR="006F7720" w:rsidRPr="00A11DAA">
        <w:rPr>
          <w:rFonts w:asciiTheme="minorHAnsi" w:hAnsiTheme="minorHAnsi"/>
        </w:rPr>
        <w:t xml:space="preserve"> still stand in relation to those uses,</w:t>
      </w:r>
      <w:r w:rsidR="00FD01C5" w:rsidRPr="00A11DAA">
        <w:rPr>
          <w:rFonts w:asciiTheme="minorHAnsi" w:hAnsiTheme="minorHAnsi"/>
        </w:rPr>
        <w:t xml:space="preserve"> and that is why the Council seeks a condition that any uses permitted be restricted to what has been assessed.</w:t>
      </w:r>
      <w:r w:rsidR="00A97A1F" w:rsidRPr="00A11DAA">
        <w:rPr>
          <w:rStyle w:val="FootnoteReference"/>
          <w:rFonts w:asciiTheme="minorHAnsi" w:hAnsiTheme="minorHAnsi"/>
        </w:rPr>
        <w:footnoteReference w:id="56"/>
      </w:r>
      <w:r w:rsidR="00A73DC7" w:rsidRPr="00A11DAA">
        <w:rPr>
          <w:rFonts w:asciiTheme="minorHAnsi" w:hAnsiTheme="minorHAnsi"/>
        </w:rPr>
        <w:t xml:space="preserve"> </w:t>
      </w:r>
    </w:p>
    <w:p w14:paraId="0BDFCDE4" w14:textId="523970C3" w:rsidR="008F2662" w:rsidRPr="00A11DAA" w:rsidRDefault="008F2662" w:rsidP="008F2662">
      <w:pPr>
        <w:pStyle w:val="ListParagraph"/>
        <w:spacing w:line="360" w:lineRule="auto"/>
        <w:ind w:left="1440"/>
        <w:jc w:val="both"/>
        <w:rPr>
          <w:rFonts w:asciiTheme="minorHAnsi" w:hAnsiTheme="minorHAnsi"/>
        </w:rPr>
      </w:pPr>
    </w:p>
    <w:p w14:paraId="05F26F88" w14:textId="3C71ECEB" w:rsidR="004F1AA2" w:rsidRPr="00A11DAA" w:rsidRDefault="0023397E" w:rsidP="006050A9">
      <w:pPr>
        <w:pStyle w:val="ListParagraph"/>
        <w:numPr>
          <w:ilvl w:val="1"/>
          <w:numId w:val="9"/>
        </w:numPr>
        <w:spacing w:line="360" w:lineRule="auto"/>
        <w:jc w:val="both"/>
        <w:rPr>
          <w:rFonts w:asciiTheme="minorHAnsi" w:hAnsiTheme="minorHAnsi"/>
        </w:rPr>
      </w:pPr>
      <w:r w:rsidRPr="00A11DAA">
        <w:rPr>
          <w:rFonts w:asciiTheme="minorHAnsi" w:hAnsiTheme="minorHAnsi"/>
        </w:rPr>
        <w:t>Notwithstanding the deficiencies, s</w:t>
      </w:r>
      <w:r w:rsidR="004F1AA2" w:rsidRPr="00A11DAA">
        <w:rPr>
          <w:rFonts w:asciiTheme="minorHAnsi" w:hAnsiTheme="minorHAnsi"/>
        </w:rPr>
        <w:t xml:space="preserve">ubject to a suitable condition being imposed, the Council agrees the proposal would not have a significant adverse impact on the relevant existing town centres of </w:t>
      </w:r>
      <w:r w:rsidR="00472707" w:rsidRPr="00A11DAA">
        <w:rPr>
          <w:rFonts w:asciiTheme="minorHAnsi" w:hAnsiTheme="minorHAnsi"/>
        </w:rPr>
        <w:t>Fordingbridge and Verwood</w:t>
      </w:r>
      <w:r w:rsidR="00E10E8A" w:rsidRPr="00A11DAA">
        <w:rPr>
          <w:rFonts w:asciiTheme="minorHAnsi" w:hAnsiTheme="minorHAnsi"/>
        </w:rPr>
        <w:t>.</w:t>
      </w:r>
      <w:r w:rsidR="00472707" w:rsidRPr="00A11DAA">
        <w:rPr>
          <w:rStyle w:val="FootnoteReference"/>
          <w:rFonts w:asciiTheme="minorHAnsi" w:hAnsiTheme="minorHAnsi"/>
        </w:rPr>
        <w:footnoteReference w:id="57"/>
      </w:r>
    </w:p>
    <w:p w14:paraId="2B8D5036" w14:textId="77777777" w:rsidR="008D341A" w:rsidRPr="00A11DAA" w:rsidRDefault="008D341A" w:rsidP="008D341A">
      <w:pPr>
        <w:pStyle w:val="ListParagraph"/>
        <w:rPr>
          <w:rFonts w:asciiTheme="minorHAnsi" w:hAnsiTheme="minorHAnsi"/>
        </w:rPr>
      </w:pPr>
    </w:p>
    <w:p w14:paraId="0AB3B758" w14:textId="7D3A93AD" w:rsidR="008D341A" w:rsidRPr="00A11DAA" w:rsidRDefault="00E9010D" w:rsidP="006050A9">
      <w:pPr>
        <w:pStyle w:val="ListParagraph"/>
        <w:numPr>
          <w:ilvl w:val="1"/>
          <w:numId w:val="9"/>
        </w:numPr>
        <w:spacing w:line="360" w:lineRule="auto"/>
        <w:jc w:val="both"/>
        <w:rPr>
          <w:rFonts w:asciiTheme="minorHAnsi" w:hAnsiTheme="minorHAnsi"/>
        </w:rPr>
      </w:pPr>
      <w:r w:rsidRPr="00A11DAA">
        <w:rPr>
          <w:rFonts w:asciiTheme="minorHAnsi" w:hAnsiTheme="minorHAnsi"/>
        </w:rPr>
        <w:t>It is agreed the existing co-op will experience a “significant negative impact” as a result of the proposed development in the short term.</w:t>
      </w:r>
      <w:r w:rsidRPr="00A11DAA">
        <w:rPr>
          <w:rStyle w:val="FootnoteReference"/>
          <w:rFonts w:asciiTheme="minorHAnsi" w:hAnsiTheme="minorHAnsi"/>
        </w:rPr>
        <w:footnoteReference w:id="58"/>
      </w:r>
      <w:r w:rsidR="009B723F" w:rsidRPr="00A11DAA">
        <w:rPr>
          <w:rFonts w:asciiTheme="minorHAnsi" w:hAnsiTheme="minorHAnsi"/>
        </w:rPr>
        <w:t xml:space="preserve"> Notwithstanding a positive long-term impact, this might well lead to the Co-op</w:t>
      </w:r>
      <w:r w:rsidR="00BA6CE4" w:rsidRPr="00A11DAA">
        <w:rPr>
          <w:rFonts w:asciiTheme="minorHAnsi" w:hAnsiTheme="minorHAnsi"/>
        </w:rPr>
        <w:t>, Nearly New Beginnings</w:t>
      </w:r>
      <w:r w:rsidR="00BF000F" w:rsidRPr="00A11DAA">
        <w:rPr>
          <w:rFonts w:asciiTheme="minorHAnsi" w:hAnsiTheme="minorHAnsi"/>
        </w:rPr>
        <w:t>, and/or the pub (if a new pub is permitted)</w:t>
      </w:r>
      <w:r w:rsidR="009B723F" w:rsidRPr="00A11DAA">
        <w:rPr>
          <w:rFonts w:asciiTheme="minorHAnsi" w:hAnsiTheme="minorHAnsi"/>
        </w:rPr>
        <w:t xml:space="preserve"> </w:t>
      </w:r>
      <w:r w:rsidR="009B723F" w:rsidRPr="00A11DAA">
        <w:rPr>
          <w:rFonts w:asciiTheme="minorHAnsi" w:hAnsiTheme="minorHAnsi"/>
        </w:rPr>
        <w:lastRenderedPageBreak/>
        <w:t>closing or re-locating</w:t>
      </w:r>
      <w:r w:rsidR="001A2949" w:rsidRPr="00A11DAA">
        <w:rPr>
          <w:rFonts w:asciiTheme="minorHAnsi" w:hAnsiTheme="minorHAnsi"/>
        </w:rPr>
        <w:t xml:space="preserve"> nearer to the PLC</w:t>
      </w:r>
      <w:r w:rsidR="009B723F" w:rsidRPr="00A11DAA">
        <w:rPr>
          <w:rFonts w:asciiTheme="minorHAnsi" w:hAnsiTheme="minorHAnsi"/>
        </w:rPr>
        <w:t>.</w:t>
      </w:r>
      <w:r w:rsidR="009B723F" w:rsidRPr="00A11DAA">
        <w:rPr>
          <w:rStyle w:val="FootnoteReference"/>
          <w:rFonts w:asciiTheme="minorHAnsi" w:hAnsiTheme="minorHAnsi"/>
        </w:rPr>
        <w:footnoteReference w:id="59"/>
      </w:r>
      <w:r w:rsidR="001A2949" w:rsidRPr="00A11DAA">
        <w:rPr>
          <w:rFonts w:asciiTheme="minorHAnsi" w:hAnsiTheme="minorHAnsi"/>
        </w:rPr>
        <w:t xml:space="preserve"> </w:t>
      </w:r>
      <w:r w:rsidR="0061794E" w:rsidRPr="00A11DAA">
        <w:rPr>
          <w:rFonts w:asciiTheme="minorHAnsi" w:hAnsiTheme="minorHAnsi"/>
        </w:rPr>
        <w:t xml:space="preserve">That </w:t>
      </w:r>
      <w:r w:rsidR="00C13E28" w:rsidRPr="00A11DAA">
        <w:rPr>
          <w:rFonts w:asciiTheme="minorHAnsi" w:hAnsiTheme="minorHAnsi"/>
        </w:rPr>
        <w:t xml:space="preserve"> would be contrary to PC5 and KS11.</w:t>
      </w:r>
      <w:r w:rsidR="005C2008" w:rsidRPr="00A11DAA">
        <w:rPr>
          <w:rStyle w:val="FootnoteReference"/>
          <w:rFonts w:asciiTheme="minorHAnsi" w:hAnsiTheme="minorHAnsi"/>
        </w:rPr>
        <w:footnoteReference w:id="60"/>
      </w:r>
    </w:p>
    <w:p w14:paraId="59A4D06C" w14:textId="77777777" w:rsidR="006943B7" w:rsidRPr="00A11DAA" w:rsidRDefault="006943B7">
      <w:pPr>
        <w:rPr>
          <w:rFonts w:asciiTheme="minorHAnsi" w:hAnsiTheme="minorHAnsi"/>
          <w:b/>
          <w:bCs/>
          <w:u w:val="single"/>
        </w:rPr>
      </w:pPr>
    </w:p>
    <w:p w14:paraId="06A0E048" w14:textId="5A7F176B" w:rsidR="006943B7" w:rsidRPr="00A11DAA" w:rsidRDefault="006943B7">
      <w:pPr>
        <w:rPr>
          <w:rFonts w:asciiTheme="minorHAnsi" w:hAnsiTheme="minorHAnsi"/>
          <w:b/>
          <w:bCs/>
        </w:rPr>
      </w:pPr>
      <w:r w:rsidRPr="00A11DAA">
        <w:rPr>
          <w:rFonts w:asciiTheme="minorHAnsi" w:hAnsiTheme="minorHAnsi"/>
          <w:b/>
          <w:bCs/>
          <w:u w:val="single"/>
        </w:rPr>
        <w:t>Issue 10(iv) Whether the scheme would make appropriate provision for education</w:t>
      </w:r>
    </w:p>
    <w:p w14:paraId="757A629C" w14:textId="77777777" w:rsidR="008A03E4" w:rsidRPr="00A11DAA" w:rsidRDefault="008A03E4">
      <w:pPr>
        <w:rPr>
          <w:rFonts w:asciiTheme="minorHAnsi" w:hAnsiTheme="minorHAnsi"/>
          <w:b/>
          <w:bCs/>
          <w:u w:val="single"/>
        </w:rPr>
      </w:pPr>
    </w:p>
    <w:p w14:paraId="3798FA6F" w14:textId="76F591DB" w:rsidR="00073E3B" w:rsidRPr="00A11DAA" w:rsidRDefault="00073E3B" w:rsidP="00663DE4">
      <w:pPr>
        <w:pStyle w:val="ListParagraph"/>
        <w:numPr>
          <w:ilvl w:val="0"/>
          <w:numId w:val="9"/>
        </w:numPr>
        <w:spacing w:line="360" w:lineRule="auto"/>
        <w:jc w:val="both"/>
        <w:rPr>
          <w:rFonts w:asciiTheme="minorHAnsi" w:hAnsiTheme="minorHAnsi"/>
        </w:rPr>
      </w:pPr>
      <w:r w:rsidRPr="00A11DAA">
        <w:rPr>
          <w:rFonts w:asciiTheme="minorHAnsi" w:hAnsiTheme="minorHAnsi"/>
        </w:rPr>
        <w:t>There is no dispute that no contributions are required for middle school places</w:t>
      </w:r>
      <w:r w:rsidRPr="00A11DAA">
        <w:rPr>
          <w:rStyle w:val="FootnoteReference"/>
          <w:rFonts w:asciiTheme="minorHAnsi" w:hAnsiTheme="minorHAnsi"/>
        </w:rPr>
        <w:footnoteReference w:id="61"/>
      </w:r>
      <w:r w:rsidRPr="00A11DAA">
        <w:rPr>
          <w:rFonts w:asciiTheme="minorHAnsi" w:hAnsiTheme="minorHAnsi"/>
        </w:rPr>
        <w:t xml:space="preserve"> and the Appellant does not dispute contributions will need to be made for upper school places.</w:t>
      </w:r>
      <w:r w:rsidRPr="00A11DAA">
        <w:rPr>
          <w:rStyle w:val="FootnoteReference"/>
          <w:rFonts w:asciiTheme="minorHAnsi" w:hAnsiTheme="minorHAnsi"/>
        </w:rPr>
        <w:footnoteReference w:id="62"/>
      </w:r>
      <w:r w:rsidRPr="00A11DAA">
        <w:rPr>
          <w:rFonts w:asciiTheme="minorHAnsi" w:hAnsiTheme="minorHAnsi"/>
        </w:rPr>
        <w:t xml:space="preserve"> The </w:t>
      </w:r>
      <w:r w:rsidR="00BF13F3" w:rsidRPr="00A11DAA">
        <w:rPr>
          <w:rFonts w:asciiTheme="minorHAnsi" w:hAnsiTheme="minorHAnsi"/>
        </w:rPr>
        <w:t xml:space="preserve">Council’s concern is that although there is a requirement for additional </w:t>
      </w:r>
      <w:r w:rsidRPr="00A11DAA">
        <w:rPr>
          <w:rFonts w:asciiTheme="minorHAnsi" w:hAnsiTheme="minorHAnsi"/>
        </w:rPr>
        <w:t>First School</w:t>
      </w:r>
      <w:r w:rsidR="00BF13F3" w:rsidRPr="00A11DAA">
        <w:rPr>
          <w:rFonts w:asciiTheme="minorHAnsi" w:hAnsiTheme="minorHAnsi"/>
        </w:rPr>
        <w:t xml:space="preserve"> places, the Appellant’s proposals are not acceptable</w:t>
      </w:r>
      <w:r w:rsidRPr="00A11DAA">
        <w:rPr>
          <w:rFonts w:asciiTheme="minorHAnsi" w:hAnsiTheme="minorHAnsi"/>
        </w:rPr>
        <w:t>.</w:t>
      </w:r>
    </w:p>
    <w:p w14:paraId="189C37A1" w14:textId="77777777" w:rsidR="00073E3B" w:rsidRPr="00A11DAA" w:rsidRDefault="00073E3B" w:rsidP="00B737BB">
      <w:pPr>
        <w:spacing w:line="360" w:lineRule="auto"/>
        <w:rPr>
          <w:rFonts w:asciiTheme="minorHAnsi" w:hAnsiTheme="minorHAnsi"/>
        </w:rPr>
      </w:pPr>
    </w:p>
    <w:p w14:paraId="484286EA" w14:textId="36426AA1" w:rsidR="002B42DB" w:rsidRPr="00A11DAA" w:rsidRDefault="00A06ACF"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I</w:t>
      </w:r>
      <w:r w:rsidR="009F15D6" w:rsidRPr="00A11DAA">
        <w:rPr>
          <w:rFonts w:asciiTheme="minorHAnsi" w:hAnsiTheme="minorHAnsi"/>
        </w:rPr>
        <w:t>t is agreed that the development will generate</w:t>
      </w:r>
      <w:r w:rsidR="005064CE" w:rsidRPr="00A11DAA">
        <w:rPr>
          <w:rFonts w:asciiTheme="minorHAnsi" w:hAnsiTheme="minorHAnsi"/>
        </w:rPr>
        <w:t xml:space="preserve"> </w:t>
      </w:r>
      <w:r w:rsidR="0042114F" w:rsidRPr="00A11DAA">
        <w:rPr>
          <w:rFonts w:asciiTheme="minorHAnsi" w:hAnsiTheme="minorHAnsi"/>
        </w:rPr>
        <w:t xml:space="preserve">c. 164 pupils (based on the Appellant’s </w:t>
      </w:r>
      <w:r w:rsidR="0042114F" w:rsidRPr="00A11DAA">
        <w:rPr>
          <w:rFonts w:asciiTheme="minorHAnsi" w:hAnsiTheme="minorHAnsi"/>
          <w:u w:val="single"/>
        </w:rPr>
        <w:t>current</w:t>
      </w:r>
      <w:r w:rsidR="0042114F" w:rsidRPr="00A11DAA">
        <w:rPr>
          <w:rFonts w:asciiTheme="minorHAnsi" w:hAnsiTheme="minorHAnsi"/>
        </w:rPr>
        <w:t xml:space="preserve"> indicative mix)</w:t>
      </w:r>
      <w:r w:rsidR="0042114F" w:rsidRPr="00A11DAA">
        <w:rPr>
          <w:rStyle w:val="FootnoteReference"/>
          <w:rFonts w:asciiTheme="minorHAnsi" w:hAnsiTheme="minorHAnsi"/>
        </w:rPr>
        <w:footnoteReference w:id="63"/>
      </w:r>
      <w:r w:rsidR="005064CE" w:rsidRPr="00A11DAA">
        <w:rPr>
          <w:rFonts w:asciiTheme="minorHAnsi" w:hAnsiTheme="minorHAnsi"/>
        </w:rPr>
        <w:t xml:space="preserve">, </w:t>
      </w:r>
      <w:r w:rsidRPr="00A11DAA">
        <w:rPr>
          <w:rFonts w:asciiTheme="minorHAnsi" w:hAnsiTheme="minorHAnsi"/>
        </w:rPr>
        <w:t>and it is agreed that</w:t>
      </w:r>
      <w:r w:rsidR="005064CE" w:rsidRPr="00A11DAA">
        <w:rPr>
          <w:rFonts w:asciiTheme="minorHAnsi" w:hAnsiTheme="minorHAnsi"/>
        </w:rPr>
        <w:t xml:space="preserve"> this</w:t>
      </w:r>
      <w:r w:rsidRPr="00A11DAA">
        <w:rPr>
          <w:rFonts w:asciiTheme="minorHAnsi" w:hAnsiTheme="minorHAnsi"/>
        </w:rPr>
        <w:t xml:space="preserve"> demand,</w:t>
      </w:r>
      <w:r w:rsidR="005064CE" w:rsidRPr="00A11DAA">
        <w:rPr>
          <w:rFonts w:asciiTheme="minorHAnsi" w:hAnsiTheme="minorHAnsi"/>
        </w:rPr>
        <w:t xml:space="preserve"> when combined with current </w:t>
      </w:r>
      <w:r w:rsidRPr="00A11DAA">
        <w:rPr>
          <w:rFonts w:asciiTheme="minorHAnsi" w:hAnsiTheme="minorHAnsi"/>
        </w:rPr>
        <w:t>school numbers,</w:t>
      </w:r>
      <w:r w:rsidR="005064CE" w:rsidRPr="00A11DAA">
        <w:rPr>
          <w:rFonts w:asciiTheme="minorHAnsi" w:hAnsiTheme="minorHAnsi"/>
        </w:rPr>
        <w:t xml:space="preserve"> will generate the need for a 2FE first school</w:t>
      </w:r>
      <w:r w:rsidRPr="00A11DAA">
        <w:rPr>
          <w:rStyle w:val="FootnoteReference"/>
          <w:rFonts w:asciiTheme="minorHAnsi" w:hAnsiTheme="minorHAnsi"/>
        </w:rPr>
        <w:footnoteReference w:id="64"/>
      </w:r>
      <w:r w:rsidRPr="00A11DAA">
        <w:rPr>
          <w:rFonts w:asciiTheme="minorHAnsi" w:hAnsiTheme="minorHAnsi"/>
        </w:rPr>
        <w:t>.  That is more than St James First School</w:t>
      </w:r>
      <w:r w:rsidR="00D221B6" w:rsidRPr="00A11DAA">
        <w:rPr>
          <w:rFonts w:asciiTheme="minorHAnsi" w:hAnsiTheme="minorHAnsi"/>
        </w:rPr>
        <w:t xml:space="preserve"> – the only school within a 2 mile radius that </w:t>
      </w:r>
      <w:r w:rsidR="00D221B6" w:rsidRPr="00A11DAA">
        <w:rPr>
          <w:rFonts w:asciiTheme="minorHAnsi" w:hAnsiTheme="minorHAnsi"/>
          <w:i/>
          <w:iCs/>
        </w:rPr>
        <w:t>could</w:t>
      </w:r>
      <w:r w:rsidR="00D221B6" w:rsidRPr="00A11DAA">
        <w:rPr>
          <w:rFonts w:asciiTheme="minorHAnsi" w:hAnsiTheme="minorHAnsi"/>
        </w:rPr>
        <w:t xml:space="preserve"> be deemed suitable to receive children from the development</w:t>
      </w:r>
      <w:r w:rsidR="00D221B6" w:rsidRPr="00A11DAA">
        <w:rPr>
          <w:rStyle w:val="FootnoteReference"/>
          <w:rFonts w:asciiTheme="minorHAnsi" w:hAnsiTheme="minorHAnsi"/>
        </w:rPr>
        <w:footnoteReference w:id="65"/>
      </w:r>
      <w:r w:rsidR="00D221B6" w:rsidRPr="00A11DAA">
        <w:rPr>
          <w:rFonts w:asciiTheme="minorHAnsi" w:hAnsiTheme="minorHAnsi"/>
        </w:rPr>
        <w:t xml:space="preserve"> – can accommodate</w:t>
      </w:r>
      <w:r w:rsidR="00CC3C46" w:rsidRPr="00A11DAA">
        <w:rPr>
          <w:rFonts w:asciiTheme="minorHAnsi" w:hAnsiTheme="minorHAnsi"/>
        </w:rPr>
        <w:t xml:space="preserve"> in its current form</w:t>
      </w:r>
      <w:r w:rsidR="00D221B6" w:rsidRPr="00A11DAA">
        <w:rPr>
          <w:rFonts w:asciiTheme="minorHAnsi" w:hAnsiTheme="minorHAnsi"/>
        </w:rPr>
        <w:t>.</w:t>
      </w:r>
      <w:r w:rsidRPr="00A11DAA">
        <w:rPr>
          <w:rFonts w:asciiTheme="minorHAnsi" w:hAnsiTheme="minorHAnsi"/>
        </w:rPr>
        <w:t xml:space="preserve"> </w:t>
      </w:r>
      <w:r w:rsidR="00441356" w:rsidRPr="00A11DAA">
        <w:rPr>
          <w:rFonts w:asciiTheme="minorHAnsi" w:hAnsiTheme="minorHAnsi"/>
        </w:rPr>
        <w:t xml:space="preserve"> </w:t>
      </w:r>
      <w:r w:rsidR="007E5BBC" w:rsidRPr="00A11DAA">
        <w:rPr>
          <w:rFonts w:asciiTheme="minorHAnsi" w:hAnsiTheme="minorHAnsi"/>
        </w:rPr>
        <w:t>T</w:t>
      </w:r>
      <w:r w:rsidR="00441356" w:rsidRPr="00A11DAA">
        <w:rPr>
          <w:rFonts w:asciiTheme="minorHAnsi" w:hAnsiTheme="minorHAnsi"/>
        </w:rPr>
        <w:t xml:space="preserve">he Appellant’s approach therefore is to </w:t>
      </w:r>
      <w:r w:rsidR="0028630A" w:rsidRPr="00A11DAA">
        <w:rPr>
          <w:rFonts w:asciiTheme="minorHAnsi" w:hAnsiTheme="minorHAnsi"/>
        </w:rPr>
        <w:t xml:space="preserve">offer to </w:t>
      </w:r>
      <w:r w:rsidR="00441356" w:rsidRPr="00A11DAA">
        <w:rPr>
          <w:rFonts w:asciiTheme="minorHAnsi" w:hAnsiTheme="minorHAnsi"/>
        </w:rPr>
        <w:t xml:space="preserve">demolish the current first school and rebuild </w:t>
      </w:r>
      <w:r w:rsidR="0028630A" w:rsidRPr="00A11DAA">
        <w:rPr>
          <w:rFonts w:asciiTheme="minorHAnsi" w:hAnsiTheme="minorHAnsi"/>
        </w:rPr>
        <w:t xml:space="preserve">it, </w:t>
      </w:r>
      <w:r w:rsidR="00CC1922" w:rsidRPr="00A11DAA">
        <w:rPr>
          <w:rFonts w:asciiTheme="minorHAnsi" w:hAnsiTheme="minorHAnsi"/>
        </w:rPr>
        <w:t>with all of the disruption that would entail</w:t>
      </w:r>
      <w:r w:rsidR="0028630A" w:rsidRPr="00A11DAA">
        <w:rPr>
          <w:rFonts w:asciiTheme="minorHAnsi" w:hAnsiTheme="minorHAnsi"/>
        </w:rPr>
        <w:t>.</w:t>
      </w:r>
      <w:r w:rsidR="0028630A" w:rsidRPr="00A11DAA">
        <w:rPr>
          <w:rStyle w:val="FootnoteReference"/>
          <w:rFonts w:asciiTheme="minorHAnsi" w:hAnsiTheme="minorHAnsi"/>
        </w:rPr>
        <w:footnoteReference w:id="66"/>
      </w:r>
      <w:r w:rsidR="00AF4D25" w:rsidRPr="00A11DAA">
        <w:rPr>
          <w:rFonts w:asciiTheme="minorHAnsi" w:hAnsiTheme="minorHAnsi"/>
        </w:rPr>
        <w:t xml:space="preserve"> No planning application </w:t>
      </w:r>
      <w:r w:rsidR="00CC1922" w:rsidRPr="00A11DAA">
        <w:rPr>
          <w:rFonts w:asciiTheme="minorHAnsi" w:hAnsiTheme="minorHAnsi"/>
        </w:rPr>
        <w:t xml:space="preserve">with detailed feasibility work is </w:t>
      </w:r>
      <w:r w:rsidR="00BF13F3" w:rsidRPr="00A11DAA">
        <w:rPr>
          <w:rFonts w:asciiTheme="minorHAnsi" w:hAnsiTheme="minorHAnsi"/>
        </w:rPr>
        <w:t>available</w:t>
      </w:r>
      <w:r w:rsidR="00CC1DAD" w:rsidRPr="00A11DAA">
        <w:rPr>
          <w:rFonts w:asciiTheme="minorHAnsi" w:hAnsiTheme="minorHAnsi"/>
        </w:rPr>
        <w:t xml:space="preserve"> </w:t>
      </w:r>
      <w:r w:rsidR="00CC1922" w:rsidRPr="00A11DAA">
        <w:rPr>
          <w:rFonts w:asciiTheme="minorHAnsi" w:hAnsiTheme="minorHAnsi"/>
        </w:rPr>
        <w:t>but</w:t>
      </w:r>
      <w:r w:rsidR="00CC1DAD" w:rsidRPr="00A11DAA">
        <w:rPr>
          <w:rFonts w:asciiTheme="minorHAnsi" w:hAnsiTheme="minorHAnsi"/>
        </w:rPr>
        <w:t xml:space="preserve"> </w:t>
      </w:r>
      <w:r w:rsidR="008F0E3F" w:rsidRPr="00A11DAA">
        <w:rPr>
          <w:rFonts w:asciiTheme="minorHAnsi" w:hAnsiTheme="minorHAnsi"/>
        </w:rPr>
        <w:t>even on the basis of the</w:t>
      </w:r>
      <w:r w:rsidR="00CC1DAD" w:rsidRPr="00A11DAA">
        <w:rPr>
          <w:rFonts w:asciiTheme="minorHAnsi" w:hAnsiTheme="minorHAnsi"/>
        </w:rPr>
        <w:t xml:space="preserve"> high level</w:t>
      </w:r>
      <w:r w:rsidR="007E3B62" w:rsidRPr="00A11DAA">
        <w:rPr>
          <w:rFonts w:asciiTheme="minorHAnsi" w:hAnsiTheme="minorHAnsi"/>
        </w:rPr>
        <w:t xml:space="preserve"> </w:t>
      </w:r>
      <w:r w:rsidR="00CC1DAD" w:rsidRPr="00A11DAA">
        <w:rPr>
          <w:rFonts w:asciiTheme="minorHAnsi" w:hAnsiTheme="minorHAnsi"/>
        </w:rPr>
        <w:t>design</w:t>
      </w:r>
      <w:r w:rsidR="007E3B62" w:rsidRPr="00A11DAA">
        <w:rPr>
          <w:rFonts w:asciiTheme="minorHAnsi" w:hAnsiTheme="minorHAnsi"/>
        </w:rPr>
        <w:t xml:space="preserve"> prepared by the Appellant </w:t>
      </w:r>
      <w:r w:rsidR="008F0E3F" w:rsidRPr="00A11DAA">
        <w:rPr>
          <w:rFonts w:asciiTheme="minorHAnsi" w:hAnsiTheme="minorHAnsi"/>
        </w:rPr>
        <w:t xml:space="preserve">it </w:t>
      </w:r>
      <w:r w:rsidR="00BF13F3" w:rsidRPr="00A11DAA">
        <w:rPr>
          <w:rFonts w:asciiTheme="minorHAnsi" w:hAnsiTheme="minorHAnsi"/>
        </w:rPr>
        <w:t>is</w:t>
      </w:r>
      <w:r w:rsidR="008F0E3F" w:rsidRPr="00A11DAA">
        <w:rPr>
          <w:rFonts w:asciiTheme="minorHAnsi" w:hAnsiTheme="minorHAnsi"/>
        </w:rPr>
        <w:t xml:space="preserve"> clear there are real issues with </w:t>
      </w:r>
      <w:r w:rsidR="0070486B" w:rsidRPr="00A11DAA">
        <w:rPr>
          <w:rFonts w:asciiTheme="minorHAnsi" w:hAnsiTheme="minorHAnsi"/>
        </w:rPr>
        <w:t>the Appellant’s</w:t>
      </w:r>
      <w:r w:rsidR="008F0E3F" w:rsidRPr="00A11DAA">
        <w:rPr>
          <w:rFonts w:asciiTheme="minorHAnsi" w:hAnsiTheme="minorHAnsi"/>
        </w:rPr>
        <w:t xml:space="preserve"> approach</w:t>
      </w:r>
      <w:r w:rsidR="0070486B" w:rsidRPr="00A11DAA">
        <w:rPr>
          <w:rFonts w:asciiTheme="minorHAnsi" w:hAnsiTheme="minorHAnsi"/>
        </w:rPr>
        <w:t xml:space="preserve">, </w:t>
      </w:r>
      <w:r w:rsidR="001464BB" w:rsidRPr="00A11DAA">
        <w:rPr>
          <w:rFonts w:asciiTheme="minorHAnsi" w:hAnsiTheme="minorHAnsi"/>
        </w:rPr>
        <w:t xml:space="preserve">and </w:t>
      </w:r>
      <w:r w:rsidR="0070486B" w:rsidRPr="00A11DAA">
        <w:rPr>
          <w:rFonts w:asciiTheme="minorHAnsi" w:hAnsiTheme="minorHAnsi"/>
        </w:rPr>
        <w:t xml:space="preserve">whether </w:t>
      </w:r>
      <w:r w:rsidR="001464BB" w:rsidRPr="00A11DAA">
        <w:rPr>
          <w:rFonts w:asciiTheme="minorHAnsi" w:hAnsiTheme="minorHAnsi"/>
        </w:rPr>
        <w:t xml:space="preserve">the new 2FE </w:t>
      </w:r>
      <w:r w:rsidR="006D6A11" w:rsidRPr="00A11DAA">
        <w:rPr>
          <w:rFonts w:asciiTheme="minorHAnsi" w:hAnsiTheme="minorHAnsi"/>
        </w:rPr>
        <w:t xml:space="preserve">first </w:t>
      </w:r>
      <w:r w:rsidR="001464BB" w:rsidRPr="00A11DAA">
        <w:rPr>
          <w:rFonts w:asciiTheme="minorHAnsi" w:hAnsiTheme="minorHAnsi"/>
        </w:rPr>
        <w:t>school</w:t>
      </w:r>
      <w:r w:rsidR="001B5E92" w:rsidRPr="00A11DAA">
        <w:rPr>
          <w:rFonts w:asciiTheme="minorHAnsi" w:hAnsiTheme="minorHAnsi"/>
        </w:rPr>
        <w:t>, or any future expansion to primary,</w:t>
      </w:r>
      <w:r w:rsidR="001464BB" w:rsidRPr="00A11DAA">
        <w:rPr>
          <w:rFonts w:asciiTheme="minorHAnsi" w:hAnsiTheme="minorHAnsi"/>
        </w:rPr>
        <w:t xml:space="preserve"> could be fitted on the  existing site</w:t>
      </w:r>
      <w:r w:rsidR="00726732" w:rsidRPr="00A11DAA">
        <w:rPr>
          <w:rFonts w:asciiTheme="minorHAnsi" w:hAnsiTheme="minorHAnsi"/>
        </w:rPr>
        <w:t>.</w:t>
      </w:r>
    </w:p>
    <w:p w14:paraId="3B3EA7FC" w14:textId="77777777" w:rsidR="002B42DB" w:rsidRPr="00A11DAA" w:rsidRDefault="002B42DB" w:rsidP="002B42DB">
      <w:pPr>
        <w:pStyle w:val="ListParagraph"/>
        <w:rPr>
          <w:rFonts w:asciiTheme="minorHAnsi" w:hAnsiTheme="minorHAnsi"/>
        </w:rPr>
      </w:pPr>
    </w:p>
    <w:p w14:paraId="2C5B9751" w14:textId="47C4323E" w:rsidR="008501C4" w:rsidRPr="00A11DAA" w:rsidRDefault="00363568"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 xml:space="preserve">It is understood that a </w:t>
      </w:r>
      <w:r w:rsidR="002B42DB" w:rsidRPr="00A11DAA">
        <w:rPr>
          <w:rFonts w:asciiTheme="minorHAnsi" w:hAnsiTheme="minorHAnsi"/>
        </w:rPr>
        <w:t>review mechanism</w:t>
      </w:r>
      <w:r w:rsidRPr="00A11DAA">
        <w:rPr>
          <w:rFonts w:asciiTheme="minorHAnsi" w:hAnsiTheme="minorHAnsi"/>
        </w:rPr>
        <w:t xml:space="preserve"> is contemplated, but </w:t>
      </w:r>
      <w:r w:rsidR="00DF0B95" w:rsidRPr="00A11DAA">
        <w:rPr>
          <w:rFonts w:asciiTheme="minorHAnsi" w:hAnsiTheme="minorHAnsi"/>
        </w:rPr>
        <w:t>the detail of it remains unclear</w:t>
      </w:r>
      <w:r w:rsidR="002B42DB" w:rsidRPr="00A11DAA">
        <w:rPr>
          <w:rFonts w:asciiTheme="minorHAnsi" w:hAnsiTheme="minorHAnsi"/>
        </w:rPr>
        <w:t>.</w:t>
      </w:r>
      <w:r w:rsidR="00DF0B95" w:rsidRPr="00A11DAA">
        <w:rPr>
          <w:rFonts w:asciiTheme="minorHAnsi" w:hAnsiTheme="minorHAnsi"/>
        </w:rPr>
        <w:t xml:space="preserve"> The Council is concerned about the idea that some alternative site, not identified at the time of the decision, could be relied upon to deliver</w:t>
      </w:r>
      <w:r w:rsidR="00901445" w:rsidRPr="00A11DAA">
        <w:rPr>
          <w:rFonts w:asciiTheme="minorHAnsi" w:hAnsiTheme="minorHAnsi"/>
        </w:rPr>
        <w:t xml:space="preserve"> part of</w:t>
      </w:r>
      <w:r w:rsidR="00DF0B95" w:rsidRPr="00A11DAA">
        <w:rPr>
          <w:rFonts w:asciiTheme="minorHAnsi" w:hAnsiTheme="minorHAnsi"/>
        </w:rPr>
        <w:t xml:space="preserve"> the </w:t>
      </w:r>
      <w:r w:rsidR="00622483" w:rsidRPr="00A11DAA">
        <w:rPr>
          <w:rFonts w:asciiTheme="minorHAnsi" w:hAnsiTheme="minorHAnsi"/>
        </w:rPr>
        <w:t xml:space="preserve">education provision required as a result of the appeal proposals, which seems to be what is in mind. </w:t>
      </w:r>
      <w:r w:rsidR="002B42DB" w:rsidRPr="00A11DAA">
        <w:rPr>
          <w:rFonts w:asciiTheme="minorHAnsi" w:hAnsiTheme="minorHAnsi"/>
        </w:rPr>
        <w:t xml:space="preserve"> </w:t>
      </w:r>
    </w:p>
    <w:p w14:paraId="38DCF993" w14:textId="77777777" w:rsidR="00073E3B" w:rsidRPr="00A11DAA" w:rsidRDefault="00073E3B" w:rsidP="00073E3B">
      <w:pPr>
        <w:pStyle w:val="ListParagraph"/>
        <w:rPr>
          <w:rFonts w:asciiTheme="minorHAnsi" w:hAnsiTheme="minorHAnsi"/>
        </w:rPr>
      </w:pPr>
    </w:p>
    <w:p w14:paraId="3732F490" w14:textId="4CC83FC0" w:rsidR="00073E3B" w:rsidRPr="00A11DAA" w:rsidRDefault="00BF13F3" w:rsidP="006050A9">
      <w:pPr>
        <w:pStyle w:val="ListParagraph"/>
        <w:numPr>
          <w:ilvl w:val="0"/>
          <w:numId w:val="9"/>
        </w:numPr>
        <w:spacing w:line="360" w:lineRule="auto"/>
        <w:jc w:val="both"/>
        <w:rPr>
          <w:rFonts w:asciiTheme="minorHAnsi" w:hAnsiTheme="minorHAnsi"/>
        </w:rPr>
      </w:pPr>
      <w:r w:rsidRPr="00A11DAA">
        <w:rPr>
          <w:rFonts w:asciiTheme="minorHAnsi" w:hAnsiTheme="minorHAnsi"/>
        </w:rPr>
        <w:t>The</w:t>
      </w:r>
      <w:r w:rsidR="00073E3B" w:rsidRPr="00A11DAA">
        <w:rPr>
          <w:rFonts w:asciiTheme="minorHAnsi" w:hAnsiTheme="minorHAnsi"/>
        </w:rPr>
        <w:t xml:space="preserve"> Appellant’s approach </w:t>
      </w:r>
      <w:r w:rsidRPr="00A11DAA">
        <w:rPr>
          <w:rFonts w:asciiTheme="minorHAnsi" w:hAnsiTheme="minorHAnsi"/>
        </w:rPr>
        <w:t xml:space="preserve">fails to </w:t>
      </w:r>
      <w:r w:rsidR="00073E3B" w:rsidRPr="00A11DAA">
        <w:rPr>
          <w:rFonts w:asciiTheme="minorHAnsi" w:hAnsiTheme="minorHAnsi"/>
        </w:rPr>
        <w:t xml:space="preserve">meet the needs </w:t>
      </w:r>
      <w:r w:rsidRPr="00A11DAA">
        <w:rPr>
          <w:rFonts w:asciiTheme="minorHAnsi" w:hAnsiTheme="minorHAnsi"/>
        </w:rPr>
        <w:t xml:space="preserve">arising from the proposed development, </w:t>
      </w:r>
      <w:r w:rsidR="00073E3B" w:rsidRPr="00A11DAA">
        <w:rPr>
          <w:rFonts w:asciiTheme="minorHAnsi" w:hAnsiTheme="minorHAnsi"/>
        </w:rPr>
        <w:t>contrary to NPPF</w:t>
      </w:r>
      <w:r w:rsidR="00755A1D" w:rsidRPr="00A11DAA">
        <w:rPr>
          <w:rFonts w:asciiTheme="minorHAnsi" w:hAnsiTheme="minorHAnsi"/>
        </w:rPr>
        <w:t>/99</w:t>
      </w:r>
      <w:r w:rsidR="00073E3B" w:rsidRPr="00A11DAA">
        <w:rPr>
          <w:rFonts w:asciiTheme="minorHAnsi" w:hAnsiTheme="minorHAnsi"/>
        </w:rPr>
        <w:t>.</w:t>
      </w:r>
      <w:r w:rsidR="006F3AF1" w:rsidRPr="00A11DAA">
        <w:rPr>
          <w:rFonts w:asciiTheme="minorHAnsi" w:hAnsiTheme="minorHAnsi"/>
        </w:rPr>
        <w:t xml:space="preserve"> </w:t>
      </w:r>
    </w:p>
    <w:p w14:paraId="7F4DF963" w14:textId="77777777" w:rsidR="00BC3D8A" w:rsidRPr="00A11DAA" w:rsidRDefault="00BC3D8A">
      <w:pPr>
        <w:rPr>
          <w:rFonts w:asciiTheme="minorHAnsi" w:hAnsiTheme="minorHAnsi"/>
          <w:b/>
          <w:bCs/>
          <w:u w:val="single"/>
        </w:rPr>
      </w:pPr>
    </w:p>
    <w:p w14:paraId="21C1B313" w14:textId="77777777" w:rsidR="008A03E4" w:rsidRPr="00A11DAA" w:rsidRDefault="008A03E4" w:rsidP="008A03E4">
      <w:pPr>
        <w:spacing w:line="360" w:lineRule="auto"/>
        <w:jc w:val="both"/>
        <w:rPr>
          <w:rFonts w:asciiTheme="minorHAnsi" w:hAnsiTheme="minorHAnsi"/>
          <w:b/>
          <w:bCs/>
          <w:u w:val="single"/>
        </w:rPr>
      </w:pPr>
      <w:r w:rsidRPr="00A11DAA">
        <w:rPr>
          <w:rFonts w:asciiTheme="minorHAnsi" w:hAnsiTheme="minorHAnsi"/>
          <w:b/>
          <w:bCs/>
          <w:u w:val="single"/>
        </w:rPr>
        <w:t>Conclusion</w:t>
      </w:r>
    </w:p>
    <w:p w14:paraId="1EFF988D" w14:textId="5A3B9C74" w:rsidR="008A03E4" w:rsidRPr="00A11DAA" w:rsidRDefault="008A03E4" w:rsidP="006050A9">
      <w:pPr>
        <w:pStyle w:val="ListParagraph"/>
        <w:numPr>
          <w:ilvl w:val="0"/>
          <w:numId w:val="9"/>
        </w:numPr>
        <w:spacing w:after="160" w:line="360" w:lineRule="auto"/>
        <w:jc w:val="both"/>
        <w:rPr>
          <w:rFonts w:asciiTheme="minorHAnsi" w:hAnsiTheme="minorHAnsi"/>
        </w:rPr>
      </w:pPr>
      <w:r w:rsidRPr="00A11DAA">
        <w:rPr>
          <w:rFonts w:asciiTheme="minorHAnsi" w:hAnsiTheme="minorHAnsi"/>
        </w:rPr>
        <w:t>In due course, the Inspector will be invited to dismiss the appeal.</w:t>
      </w:r>
    </w:p>
    <w:p w14:paraId="4E8C18FC" w14:textId="77777777" w:rsidR="008A03E4" w:rsidRPr="00A11DAA" w:rsidRDefault="008A03E4" w:rsidP="008A03E4">
      <w:pPr>
        <w:pStyle w:val="ListParagraph"/>
        <w:spacing w:line="360" w:lineRule="auto"/>
        <w:jc w:val="right"/>
        <w:rPr>
          <w:rFonts w:asciiTheme="minorHAnsi" w:hAnsiTheme="minorHAnsi"/>
        </w:rPr>
      </w:pPr>
    </w:p>
    <w:p w14:paraId="6FA76B7D" w14:textId="77777777" w:rsidR="008A03E4" w:rsidRPr="00A11DAA" w:rsidRDefault="008A03E4" w:rsidP="008A03E4">
      <w:pPr>
        <w:pStyle w:val="ListParagraph"/>
        <w:spacing w:line="360" w:lineRule="auto"/>
        <w:jc w:val="right"/>
        <w:rPr>
          <w:rFonts w:asciiTheme="minorHAnsi" w:hAnsiTheme="minorHAnsi"/>
          <w:b/>
          <w:bCs/>
        </w:rPr>
      </w:pPr>
      <w:r w:rsidRPr="00A11DAA">
        <w:rPr>
          <w:rFonts w:asciiTheme="minorHAnsi" w:hAnsiTheme="minorHAnsi"/>
          <w:b/>
          <w:bCs/>
        </w:rPr>
        <w:t>Melissa Murphy K.C.</w:t>
      </w:r>
    </w:p>
    <w:p w14:paraId="48291C5C" w14:textId="34A93755" w:rsidR="006038F1" w:rsidRPr="00A11DAA" w:rsidRDefault="006038F1" w:rsidP="008A03E4">
      <w:pPr>
        <w:pStyle w:val="ListParagraph"/>
        <w:spacing w:line="360" w:lineRule="auto"/>
        <w:jc w:val="right"/>
        <w:rPr>
          <w:rFonts w:asciiTheme="minorHAnsi" w:hAnsiTheme="minorHAnsi"/>
          <w:b/>
          <w:bCs/>
        </w:rPr>
      </w:pPr>
      <w:r w:rsidRPr="00A11DAA">
        <w:rPr>
          <w:rFonts w:asciiTheme="minorHAnsi" w:hAnsiTheme="minorHAnsi"/>
          <w:b/>
          <w:bCs/>
        </w:rPr>
        <w:t>Nick Grant</w:t>
      </w:r>
    </w:p>
    <w:p w14:paraId="04D3827D" w14:textId="17F71609" w:rsidR="008A03E4" w:rsidRPr="00A11DAA" w:rsidRDefault="00901445" w:rsidP="008A03E4">
      <w:pPr>
        <w:pStyle w:val="ListParagraph"/>
        <w:spacing w:line="360" w:lineRule="auto"/>
        <w:jc w:val="right"/>
        <w:rPr>
          <w:rFonts w:asciiTheme="minorHAnsi" w:hAnsiTheme="minorHAnsi"/>
          <w:b/>
          <w:bCs/>
        </w:rPr>
      </w:pPr>
      <w:r w:rsidRPr="00A11DAA">
        <w:rPr>
          <w:rFonts w:asciiTheme="minorHAnsi" w:hAnsiTheme="minorHAnsi"/>
          <w:b/>
          <w:bCs/>
        </w:rPr>
        <w:t>25</w:t>
      </w:r>
      <w:r w:rsidRPr="00A11DAA">
        <w:rPr>
          <w:rFonts w:asciiTheme="minorHAnsi" w:hAnsiTheme="minorHAnsi"/>
          <w:b/>
          <w:bCs/>
          <w:vertAlign w:val="superscript"/>
        </w:rPr>
        <w:t>th</w:t>
      </w:r>
      <w:r w:rsidRPr="00A11DAA">
        <w:rPr>
          <w:rFonts w:asciiTheme="minorHAnsi" w:hAnsiTheme="minorHAnsi"/>
          <w:b/>
          <w:bCs/>
        </w:rPr>
        <w:t xml:space="preserve"> June 2024</w:t>
      </w:r>
    </w:p>
    <w:p w14:paraId="4141B46D" w14:textId="77777777" w:rsidR="008A03E4" w:rsidRPr="00A11DAA" w:rsidRDefault="008A03E4" w:rsidP="008A03E4">
      <w:pPr>
        <w:pStyle w:val="ListParagraph"/>
        <w:spacing w:line="360" w:lineRule="auto"/>
        <w:rPr>
          <w:rFonts w:asciiTheme="minorHAnsi" w:hAnsiTheme="minorHAnsi"/>
          <w:b/>
          <w:bCs/>
        </w:rPr>
      </w:pPr>
      <w:r w:rsidRPr="00A11DAA">
        <w:rPr>
          <w:rFonts w:asciiTheme="minorHAnsi" w:hAnsiTheme="minorHAnsi"/>
          <w:b/>
          <w:bCs/>
        </w:rPr>
        <w:t>Landmark Chambers</w:t>
      </w:r>
    </w:p>
    <w:p w14:paraId="10B38A39" w14:textId="77777777" w:rsidR="008A03E4" w:rsidRPr="00A11DAA" w:rsidRDefault="008A03E4" w:rsidP="008A03E4">
      <w:pPr>
        <w:pStyle w:val="ListParagraph"/>
        <w:spacing w:line="360" w:lineRule="auto"/>
        <w:rPr>
          <w:rFonts w:asciiTheme="minorHAnsi" w:hAnsiTheme="minorHAnsi"/>
          <w:b/>
          <w:bCs/>
        </w:rPr>
      </w:pPr>
      <w:r w:rsidRPr="00A11DAA">
        <w:rPr>
          <w:rFonts w:asciiTheme="minorHAnsi" w:hAnsiTheme="minorHAnsi"/>
          <w:b/>
          <w:bCs/>
        </w:rPr>
        <w:t>180 Fleet Street</w:t>
      </w:r>
    </w:p>
    <w:p w14:paraId="52CA7144" w14:textId="77777777" w:rsidR="008A03E4" w:rsidRPr="00A11DAA" w:rsidRDefault="008A03E4" w:rsidP="008A03E4">
      <w:pPr>
        <w:pStyle w:val="ListParagraph"/>
        <w:spacing w:line="360" w:lineRule="auto"/>
        <w:rPr>
          <w:rFonts w:asciiTheme="minorHAnsi" w:hAnsiTheme="minorHAnsi"/>
          <w:b/>
          <w:bCs/>
        </w:rPr>
      </w:pPr>
      <w:r w:rsidRPr="00A11DAA">
        <w:rPr>
          <w:rFonts w:asciiTheme="minorHAnsi" w:hAnsiTheme="minorHAnsi"/>
          <w:b/>
          <w:bCs/>
        </w:rPr>
        <w:t>London EC4A 2HG</w:t>
      </w:r>
    </w:p>
    <w:p w14:paraId="3B681F43" w14:textId="77777777" w:rsidR="008A03E4" w:rsidRPr="00A11DAA" w:rsidRDefault="008A03E4" w:rsidP="008A03E4">
      <w:pPr>
        <w:pStyle w:val="ListParagraph"/>
        <w:spacing w:line="360" w:lineRule="auto"/>
        <w:jc w:val="right"/>
        <w:rPr>
          <w:rFonts w:asciiTheme="minorHAnsi" w:hAnsiTheme="minorHAnsi"/>
        </w:rPr>
      </w:pPr>
    </w:p>
    <w:p w14:paraId="1B64DE49" w14:textId="77777777" w:rsidR="002D583E" w:rsidRPr="00A11DAA" w:rsidRDefault="002D583E">
      <w:pPr>
        <w:rPr>
          <w:rFonts w:asciiTheme="minorHAnsi" w:hAnsiTheme="minorHAnsi"/>
          <w:b/>
          <w:bCs/>
          <w:u w:val="single"/>
        </w:rPr>
      </w:pPr>
    </w:p>
    <w:sectPr w:rsidR="002D583E" w:rsidRPr="00A11DA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A17A" w14:textId="77777777" w:rsidR="00CA339E" w:rsidRDefault="00CA339E" w:rsidP="00E819E2">
      <w:r>
        <w:separator/>
      </w:r>
    </w:p>
  </w:endnote>
  <w:endnote w:type="continuationSeparator" w:id="0">
    <w:p w14:paraId="1AD48A2F" w14:textId="77777777" w:rsidR="00CA339E" w:rsidRDefault="00CA339E" w:rsidP="00E8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767615"/>
      <w:docPartObj>
        <w:docPartGallery w:val="Page Numbers (Bottom of Page)"/>
        <w:docPartUnique/>
      </w:docPartObj>
    </w:sdtPr>
    <w:sdtContent>
      <w:p w14:paraId="4081AE8A" w14:textId="2475995B" w:rsidR="00A377AF" w:rsidRDefault="00A377AF" w:rsidP="00A11D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72561" w14:textId="77777777" w:rsidR="00A377AF" w:rsidRDefault="00A377AF" w:rsidP="00A11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228608"/>
      <w:docPartObj>
        <w:docPartGallery w:val="Page Numbers (Bottom of Page)"/>
        <w:docPartUnique/>
      </w:docPartObj>
    </w:sdtPr>
    <w:sdtContent>
      <w:p w14:paraId="009E5F9F" w14:textId="4DCCF2C9" w:rsidR="00A11DAA" w:rsidRDefault="00A11DAA" w:rsidP="00490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0D03" w14:textId="77777777" w:rsidR="00CA339E" w:rsidRDefault="00CA339E" w:rsidP="00E819E2">
      <w:r>
        <w:separator/>
      </w:r>
    </w:p>
  </w:footnote>
  <w:footnote w:type="continuationSeparator" w:id="0">
    <w:p w14:paraId="6D9A326B" w14:textId="77777777" w:rsidR="00CA339E" w:rsidRDefault="00CA339E" w:rsidP="00E819E2">
      <w:r>
        <w:continuationSeparator/>
      </w:r>
    </w:p>
  </w:footnote>
  <w:footnote w:id="1">
    <w:p w14:paraId="183E9323" w14:textId="2016F703" w:rsidR="00445445" w:rsidRPr="00BD7E91" w:rsidRDefault="00445445" w:rsidP="00C3692E">
      <w:pPr>
        <w:pStyle w:val="FootnoteText"/>
        <w:jc w:val="both"/>
        <w:rPr>
          <w:rFonts w:ascii="Aptos" w:hAnsi="Aptos"/>
        </w:rPr>
      </w:pPr>
      <w:r w:rsidRPr="00BD7E91">
        <w:rPr>
          <w:rStyle w:val="FootnoteReference"/>
          <w:rFonts w:ascii="Aptos" w:hAnsi="Aptos"/>
        </w:rPr>
        <w:footnoteRef/>
      </w:r>
      <w:r w:rsidRPr="00BD7E91">
        <w:rPr>
          <w:rFonts w:ascii="Aptos" w:hAnsi="Aptos"/>
        </w:rPr>
        <w:t xml:space="preserve"> CDC</w:t>
      </w:r>
      <w:r w:rsidR="00F919C2" w:rsidRPr="00BD7E91">
        <w:rPr>
          <w:rFonts w:ascii="Aptos" w:hAnsi="Aptos"/>
        </w:rPr>
        <w:t>.00</w:t>
      </w:r>
      <w:r w:rsidRPr="00BD7E91">
        <w:rPr>
          <w:rFonts w:ascii="Aptos" w:hAnsi="Aptos"/>
        </w:rPr>
        <w:t xml:space="preserve">6 CMC Summary Note </w:t>
      </w:r>
    </w:p>
  </w:footnote>
  <w:footnote w:id="2">
    <w:p w14:paraId="1D9C1724" w14:textId="581B70DD" w:rsidR="00445445" w:rsidRPr="00BD7E91" w:rsidRDefault="00445445" w:rsidP="00C3692E">
      <w:pPr>
        <w:pStyle w:val="FootnoteText"/>
        <w:jc w:val="both"/>
        <w:rPr>
          <w:rFonts w:ascii="Aptos" w:hAnsi="Aptos"/>
        </w:rPr>
      </w:pPr>
      <w:r w:rsidRPr="00BD7E91">
        <w:rPr>
          <w:rStyle w:val="FootnoteReference"/>
          <w:rFonts w:ascii="Aptos" w:hAnsi="Aptos"/>
        </w:rPr>
        <w:footnoteRef/>
      </w:r>
      <w:r w:rsidRPr="00BD7E91">
        <w:rPr>
          <w:rFonts w:ascii="Aptos" w:hAnsi="Aptos"/>
        </w:rPr>
        <w:t xml:space="preserve"> A letter of protest on the subject is at CDA</w:t>
      </w:r>
      <w:r w:rsidR="00F54B3B" w:rsidRPr="00BD7E91">
        <w:rPr>
          <w:rFonts w:ascii="Aptos" w:hAnsi="Aptos"/>
        </w:rPr>
        <w:t>.</w:t>
      </w:r>
      <w:r w:rsidRPr="00BD7E91">
        <w:rPr>
          <w:rFonts w:ascii="Aptos" w:hAnsi="Aptos"/>
        </w:rPr>
        <w:t>71</w:t>
      </w:r>
    </w:p>
  </w:footnote>
  <w:footnote w:id="3">
    <w:p w14:paraId="6E9D1C44" w14:textId="0EF20257" w:rsidR="00445445" w:rsidRPr="00BD7E91" w:rsidRDefault="00445445" w:rsidP="00C3692E">
      <w:pPr>
        <w:pStyle w:val="FootnoteText"/>
        <w:jc w:val="both"/>
        <w:rPr>
          <w:rFonts w:ascii="Aptos" w:hAnsi="Aptos"/>
        </w:rPr>
      </w:pPr>
      <w:r w:rsidRPr="00BD7E91">
        <w:rPr>
          <w:rStyle w:val="FootnoteReference"/>
          <w:rFonts w:ascii="Aptos" w:hAnsi="Aptos"/>
        </w:rPr>
        <w:footnoteRef/>
      </w:r>
      <w:r w:rsidRPr="00BD7E91">
        <w:rPr>
          <w:rFonts w:ascii="Aptos" w:hAnsi="Aptos"/>
        </w:rPr>
        <w:t xml:space="preserve"> C</w:t>
      </w:r>
      <w:r w:rsidR="00F919C2" w:rsidRPr="00BD7E91">
        <w:rPr>
          <w:rFonts w:ascii="Aptos" w:hAnsi="Aptos"/>
        </w:rPr>
        <w:t>D</w:t>
      </w:r>
      <w:r w:rsidRPr="00BD7E91">
        <w:rPr>
          <w:rFonts w:ascii="Aptos" w:hAnsi="Aptos"/>
        </w:rPr>
        <w:t>C</w:t>
      </w:r>
      <w:r w:rsidR="00F919C2" w:rsidRPr="00BD7E91">
        <w:rPr>
          <w:rFonts w:ascii="Aptos" w:hAnsi="Aptos"/>
        </w:rPr>
        <w:t>.00</w:t>
      </w:r>
      <w:r w:rsidRPr="00BD7E91">
        <w:rPr>
          <w:rFonts w:ascii="Aptos" w:hAnsi="Aptos"/>
        </w:rPr>
        <w:t xml:space="preserve">3 Appellant’s Statement of Case p.7 para. 1.12-1.13. </w:t>
      </w:r>
    </w:p>
  </w:footnote>
  <w:footnote w:id="4">
    <w:p w14:paraId="1F89D71F" w14:textId="77777777" w:rsidR="00445445" w:rsidRPr="00BD7E91" w:rsidRDefault="00445445">
      <w:pPr>
        <w:pStyle w:val="FootnoteText"/>
        <w:rPr>
          <w:rFonts w:ascii="Aptos" w:hAnsi="Aptos"/>
        </w:rPr>
      </w:pPr>
      <w:r w:rsidRPr="00BD7E91">
        <w:rPr>
          <w:rStyle w:val="FootnoteReference"/>
          <w:rFonts w:ascii="Aptos" w:hAnsi="Aptos"/>
        </w:rPr>
        <w:footnoteRef/>
      </w:r>
      <w:r w:rsidRPr="00BD7E91">
        <w:rPr>
          <w:rFonts w:ascii="Aptos" w:hAnsi="Aptos"/>
        </w:rPr>
        <w:t xml:space="preserve"> PINS Procedural Guide Planning Appeals – England (28 May 2024) at:</w:t>
      </w:r>
    </w:p>
    <w:p w14:paraId="23CE3DFA" w14:textId="40D05CEC" w:rsidR="00445445" w:rsidRPr="00BD7E91" w:rsidRDefault="00445445" w:rsidP="00445445">
      <w:pPr>
        <w:pStyle w:val="FootnoteText"/>
        <w:numPr>
          <w:ilvl w:val="0"/>
          <w:numId w:val="8"/>
        </w:numPr>
        <w:rPr>
          <w:rFonts w:ascii="Aptos" w:hAnsi="Aptos"/>
        </w:rPr>
      </w:pPr>
      <w:r w:rsidRPr="00BD7E91">
        <w:rPr>
          <w:rFonts w:ascii="Aptos" w:hAnsi="Aptos" w:cs="Arial"/>
          <w:color w:val="0B0C0C"/>
          <w:shd w:val="clear" w:color="auto" w:fill="FFFFFF"/>
        </w:rPr>
        <w:t xml:space="preserve">“3.1.2. Making an appeal should not be used as a bargaining tactic but only as the last resort. The person making the appeal (‘the appellant’) should be confident </w:t>
      </w:r>
      <w:r w:rsidRPr="00BD7E91">
        <w:rPr>
          <w:rFonts w:ascii="Aptos" w:hAnsi="Aptos" w:cs="Arial"/>
          <w:b/>
          <w:bCs/>
          <w:color w:val="0B0C0C"/>
          <w:shd w:val="clear" w:color="auto" w:fill="FFFFFF"/>
        </w:rPr>
        <w:t>at the time they make their appeal that they are able to make their full case</w:t>
      </w:r>
      <w:r w:rsidRPr="00BD7E91">
        <w:rPr>
          <w:rFonts w:ascii="Aptos" w:hAnsi="Aptos" w:cs="Arial"/>
          <w:color w:val="0B0C0C"/>
          <w:shd w:val="clear" w:color="auto" w:fill="FFFFFF"/>
        </w:rPr>
        <w:t>.</w:t>
      </w:r>
    </w:p>
    <w:p w14:paraId="052BD620" w14:textId="1680EBAA" w:rsidR="00445445" w:rsidRPr="00BD7E91" w:rsidRDefault="00445445" w:rsidP="00C3692E">
      <w:pPr>
        <w:pStyle w:val="FootnoteText"/>
        <w:numPr>
          <w:ilvl w:val="0"/>
          <w:numId w:val="8"/>
        </w:numPr>
        <w:jc w:val="both"/>
        <w:rPr>
          <w:rFonts w:ascii="Aptos" w:hAnsi="Aptos"/>
        </w:rPr>
      </w:pPr>
      <w:r w:rsidRPr="00BD7E91">
        <w:rPr>
          <w:rFonts w:ascii="Aptos" w:hAnsi="Aptos" w:cs="Arial"/>
          <w:color w:val="0B0C0C"/>
          <w:shd w:val="clear" w:color="auto" w:fill="FFFFFF"/>
        </w:rPr>
        <w:t xml:space="preserve">12.1.1. A full statement of case contains all the details and arguments (as well as supporting documents and evidence) which a person will put forward to make their case in the appeal. </w:t>
      </w:r>
      <w:r w:rsidRPr="00BD7E91">
        <w:rPr>
          <w:rFonts w:ascii="Aptos" w:hAnsi="Aptos" w:cs="Arial"/>
          <w:b/>
          <w:bCs/>
          <w:color w:val="0B0C0C"/>
          <w:shd w:val="clear" w:color="auto" w:fill="FFFFFF"/>
        </w:rPr>
        <w:t>In general, appeals are determined on the same basis as the original application. Therefore, the appellant’s submissions, including the statement of case, should not normally include new evidence or additional technical data not previously seen by the</w:t>
      </w:r>
      <w:r w:rsidRPr="00BD7E91">
        <w:rPr>
          <w:rStyle w:val="apple-converted-space"/>
          <w:rFonts w:ascii="Aptos" w:eastAsiaTheme="majorEastAsia" w:hAnsi="Aptos" w:cs="Arial"/>
          <w:b/>
          <w:bCs/>
          <w:color w:val="0B0C0C"/>
          <w:shd w:val="clear" w:color="auto" w:fill="FFFFFF"/>
        </w:rPr>
        <w:t> </w:t>
      </w:r>
      <w:r w:rsidRPr="00BD7E91">
        <w:rPr>
          <w:rFonts w:ascii="Aptos" w:hAnsi="Aptos"/>
          <w:b/>
          <w:bCs/>
        </w:rPr>
        <w:t>LPA</w:t>
      </w:r>
      <w:r w:rsidRPr="00BD7E91">
        <w:rPr>
          <w:rStyle w:val="apple-converted-space"/>
          <w:rFonts w:ascii="Aptos" w:eastAsiaTheme="majorEastAsia" w:hAnsi="Aptos" w:cs="Arial"/>
          <w:b/>
          <w:bCs/>
          <w:color w:val="0B0C0C"/>
          <w:shd w:val="clear" w:color="auto" w:fill="FFFFFF"/>
        </w:rPr>
        <w:t> </w:t>
      </w:r>
      <w:r w:rsidRPr="00BD7E91">
        <w:rPr>
          <w:rFonts w:ascii="Aptos" w:hAnsi="Aptos" w:cs="Arial"/>
          <w:b/>
          <w:bCs/>
          <w:color w:val="0B0C0C"/>
          <w:shd w:val="clear" w:color="auto" w:fill="FFFFFF"/>
        </w:rPr>
        <w:t xml:space="preserve">and interested parties at the application stage, such as biodiversity report, highways statement or landscape and visual impact assessments.” </w:t>
      </w:r>
      <w:r w:rsidRPr="00BD7E91">
        <w:rPr>
          <w:rFonts w:ascii="Aptos" w:hAnsi="Aptos" w:cs="Arial"/>
          <w:color w:val="0B0C0C"/>
          <w:shd w:val="clear" w:color="auto" w:fill="FFFFFF"/>
        </w:rPr>
        <w:t>(Emphasis added.)</w:t>
      </w:r>
    </w:p>
  </w:footnote>
  <w:footnote w:id="5">
    <w:p w14:paraId="1BAB3886" w14:textId="1E08A891" w:rsidR="00445445" w:rsidRPr="00BD7E91" w:rsidRDefault="00445445">
      <w:pPr>
        <w:pStyle w:val="FootnoteText"/>
        <w:rPr>
          <w:rFonts w:ascii="Aptos" w:hAnsi="Aptos"/>
        </w:rPr>
      </w:pPr>
      <w:r w:rsidRPr="00BD7E91">
        <w:rPr>
          <w:rStyle w:val="FootnoteReference"/>
          <w:rFonts w:ascii="Aptos" w:hAnsi="Aptos"/>
        </w:rPr>
        <w:footnoteRef/>
      </w:r>
      <w:r w:rsidRPr="00BD7E91">
        <w:rPr>
          <w:rFonts w:ascii="Aptos" w:hAnsi="Aptos"/>
        </w:rPr>
        <w:t xml:space="preserve"> </w:t>
      </w:r>
      <w:r w:rsidR="00EF3944" w:rsidRPr="00BD7E91">
        <w:rPr>
          <w:rFonts w:ascii="Aptos" w:hAnsi="Aptos"/>
        </w:rPr>
        <w:t xml:space="preserve">Statement of Common Ground </w:t>
      </w:r>
      <w:r w:rsidR="005F11CE" w:rsidRPr="00BD7E91">
        <w:rPr>
          <w:rFonts w:ascii="Aptos" w:hAnsi="Aptos"/>
        </w:rPr>
        <w:t>agreed 21 June 2024 (“</w:t>
      </w:r>
      <w:r w:rsidR="005F11CE" w:rsidRPr="007C30D8">
        <w:rPr>
          <w:rFonts w:ascii="Aptos" w:hAnsi="Aptos"/>
        </w:rPr>
        <w:t>SCG”</w:t>
      </w:r>
      <w:r w:rsidR="005F11CE" w:rsidRPr="00BD7E91">
        <w:rPr>
          <w:rFonts w:ascii="Aptos" w:hAnsi="Aptos"/>
        </w:rPr>
        <w:t xml:space="preserve">) </w:t>
      </w:r>
      <w:r w:rsidR="009003D2" w:rsidRPr="00BD7E91">
        <w:rPr>
          <w:rFonts w:ascii="Aptos" w:hAnsi="Aptos"/>
        </w:rPr>
        <w:t xml:space="preserve">p.2 </w:t>
      </w:r>
      <w:r w:rsidRPr="007C30D8">
        <w:rPr>
          <w:rFonts w:ascii="Aptos" w:hAnsi="Aptos"/>
        </w:rPr>
        <w:t>para. 2.1(2021 Census).</w:t>
      </w:r>
      <w:r w:rsidRPr="00BD7E91">
        <w:rPr>
          <w:rFonts w:ascii="Aptos" w:hAnsi="Aptos"/>
        </w:rPr>
        <w:t xml:space="preserve"> </w:t>
      </w:r>
    </w:p>
  </w:footnote>
  <w:footnote w:id="6">
    <w:p w14:paraId="5B874B76" w14:textId="4D377A7F" w:rsidR="00445445" w:rsidRPr="00BD7E91" w:rsidRDefault="00445445">
      <w:pPr>
        <w:pStyle w:val="FootnoteText"/>
        <w:rPr>
          <w:rFonts w:ascii="Aptos" w:hAnsi="Aptos"/>
        </w:rPr>
      </w:pPr>
      <w:r w:rsidRPr="00BD7E91">
        <w:rPr>
          <w:rStyle w:val="FootnoteReference"/>
          <w:rFonts w:ascii="Aptos" w:hAnsi="Aptos"/>
        </w:rPr>
        <w:footnoteRef/>
      </w:r>
      <w:r w:rsidRPr="00BD7E91">
        <w:rPr>
          <w:rFonts w:ascii="Aptos" w:hAnsi="Aptos"/>
        </w:rPr>
        <w:t xml:space="preserve"> </w:t>
      </w:r>
      <w:r w:rsidR="00F60C32" w:rsidRPr="00BD7E91">
        <w:rPr>
          <w:rFonts w:ascii="Aptos" w:hAnsi="Aptos"/>
        </w:rPr>
        <w:t xml:space="preserve">CDG.010 </w:t>
      </w:r>
      <w:r w:rsidR="00D81C4D" w:rsidRPr="00BD7E91">
        <w:rPr>
          <w:rFonts w:ascii="Aptos" w:hAnsi="Aptos"/>
        </w:rPr>
        <w:t>James</w:t>
      </w:r>
      <w:r w:rsidRPr="00BD7E91">
        <w:rPr>
          <w:rFonts w:ascii="Aptos" w:hAnsi="Aptos"/>
        </w:rPr>
        <w:t xml:space="preserve"> Rand </w:t>
      </w:r>
      <w:r w:rsidR="0004411F" w:rsidRPr="00BD7E91">
        <w:rPr>
          <w:rFonts w:ascii="Aptos" w:hAnsi="Aptos"/>
        </w:rPr>
        <w:t>Proof of Evidence (“</w:t>
      </w:r>
      <w:r w:rsidRPr="00BD7E91">
        <w:rPr>
          <w:rFonts w:ascii="Aptos" w:hAnsi="Aptos"/>
        </w:rPr>
        <w:t>POE</w:t>
      </w:r>
      <w:r w:rsidR="0004411F" w:rsidRPr="00BD7E91">
        <w:rPr>
          <w:rFonts w:ascii="Aptos" w:hAnsi="Aptos"/>
        </w:rPr>
        <w:t>”)</w:t>
      </w:r>
      <w:r w:rsidRPr="00BD7E91">
        <w:rPr>
          <w:rFonts w:ascii="Aptos" w:hAnsi="Aptos"/>
        </w:rPr>
        <w:t xml:space="preserve"> p.8 para. 2.38</w:t>
      </w:r>
    </w:p>
  </w:footnote>
  <w:footnote w:id="7">
    <w:p w14:paraId="4F33C5CA" w14:textId="64634056" w:rsidR="004732C9" w:rsidRPr="00BD7E91" w:rsidRDefault="004732C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445445" w:rsidRPr="00BD7E91">
        <w:rPr>
          <w:rFonts w:ascii="Aptos" w:hAnsi="Aptos"/>
          <w:color w:val="000000" w:themeColor="text1"/>
        </w:rPr>
        <w:t>CDD</w:t>
      </w:r>
      <w:r w:rsidR="00BF604E" w:rsidRPr="00BD7E91">
        <w:rPr>
          <w:rFonts w:ascii="Aptos" w:hAnsi="Aptos"/>
          <w:color w:val="000000" w:themeColor="text1"/>
        </w:rPr>
        <w:t>.00</w:t>
      </w:r>
      <w:r w:rsidR="00445445" w:rsidRPr="00BD7E91">
        <w:rPr>
          <w:rFonts w:ascii="Aptos" w:hAnsi="Aptos"/>
          <w:color w:val="000000" w:themeColor="text1"/>
        </w:rPr>
        <w:t xml:space="preserve">1 p.25 “The Settlement Hierarchy” para. 4.6 and KS2. </w:t>
      </w:r>
    </w:p>
  </w:footnote>
  <w:footnote w:id="8">
    <w:p w14:paraId="4CDFCF36" w14:textId="48B6747D" w:rsidR="00445445" w:rsidRPr="00BD7E91" w:rsidRDefault="00445445">
      <w:pPr>
        <w:pStyle w:val="FootnoteText"/>
        <w:rPr>
          <w:rFonts w:ascii="Aptos" w:hAnsi="Aptos"/>
        </w:rPr>
      </w:pPr>
      <w:r w:rsidRPr="00BD7E91">
        <w:rPr>
          <w:rStyle w:val="FootnoteReference"/>
          <w:rFonts w:ascii="Aptos" w:hAnsi="Aptos"/>
        </w:rPr>
        <w:footnoteRef/>
      </w:r>
      <w:r w:rsidRPr="00BD7E91">
        <w:rPr>
          <w:rFonts w:ascii="Aptos" w:hAnsi="Aptos"/>
        </w:rPr>
        <w:t xml:space="preserve"> </w:t>
      </w:r>
      <w:r w:rsidRPr="007C30D8">
        <w:rPr>
          <w:rFonts w:ascii="Aptos" w:hAnsi="Aptos"/>
        </w:rPr>
        <w:t>SCG p.9 para.8.19</w:t>
      </w:r>
    </w:p>
  </w:footnote>
  <w:footnote w:id="9">
    <w:p w14:paraId="11B2EFC2" w14:textId="6C711BEE" w:rsidR="00445445" w:rsidRPr="00BD7E91" w:rsidRDefault="00445445">
      <w:pPr>
        <w:pStyle w:val="FootnoteText"/>
        <w:rPr>
          <w:rFonts w:ascii="Aptos" w:hAnsi="Aptos"/>
        </w:rPr>
      </w:pPr>
      <w:r w:rsidRPr="00BD7E91">
        <w:rPr>
          <w:rStyle w:val="FootnoteReference"/>
          <w:rFonts w:ascii="Aptos" w:hAnsi="Aptos"/>
        </w:rPr>
        <w:footnoteRef/>
      </w:r>
      <w:r w:rsidRPr="00BD7E91">
        <w:rPr>
          <w:rFonts w:ascii="Aptos" w:hAnsi="Aptos"/>
        </w:rPr>
        <w:t xml:space="preserve"> </w:t>
      </w:r>
      <w:r w:rsidRPr="00A20A10">
        <w:rPr>
          <w:rFonts w:ascii="Aptos" w:hAnsi="Aptos"/>
        </w:rPr>
        <w:t>SCG p.9 para. 8.19</w:t>
      </w:r>
    </w:p>
  </w:footnote>
  <w:footnote w:id="10">
    <w:p w14:paraId="024302BD" w14:textId="101CAF21" w:rsidR="00445445" w:rsidRPr="00BD7E91" w:rsidRDefault="00445445">
      <w:pPr>
        <w:pStyle w:val="FootnoteText"/>
        <w:rPr>
          <w:rFonts w:ascii="Aptos" w:hAnsi="Aptos"/>
        </w:rPr>
      </w:pPr>
      <w:r w:rsidRPr="00BD7E91">
        <w:rPr>
          <w:rStyle w:val="FootnoteReference"/>
          <w:rFonts w:ascii="Aptos" w:hAnsi="Aptos"/>
        </w:rPr>
        <w:footnoteRef/>
      </w:r>
      <w:r w:rsidRPr="00BD7E91">
        <w:rPr>
          <w:rFonts w:ascii="Aptos" w:hAnsi="Aptos"/>
        </w:rPr>
        <w:t xml:space="preserve"> Email of 21.6.2024 from Richard Turney KC (on behalf of the Appellant) to PINS</w:t>
      </w:r>
    </w:p>
  </w:footnote>
  <w:footnote w:id="11">
    <w:p w14:paraId="3D6BE124" w14:textId="4789DB97" w:rsidR="00445445" w:rsidRPr="00BD7E91" w:rsidRDefault="00445445">
      <w:pPr>
        <w:pStyle w:val="FootnoteText"/>
        <w:rPr>
          <w:rFonts w:ascii="Aptos" w:hAnsi="Aptos"/>
          <w:highlight w:val="yellow"/>
        </w:rPr>
      </w:pPr>
      <w:r w:rsidRPr="00BD7E91">
        <w:rPr>
          <w:rStyle w:val="FootnoteReference"/>
          <w:rFonts w:ascii="Aptos" w:hAnsi="Aptos"/>
        </w:rPr>
        <w:footnoteRef/>
      </w:r>
      <w:r w:rsidRPr="00BD7E91">
        <w:rPr>
          <w:rFonts w:ascii="Aptos" w:hAnsi="Aptos"/>
        </w:rPr>
        <w:t xml:space="preserve"> </w:t>
      </w:r>
      <w:r w:rsidRPr="00A20A10">
        <w:rPr>
          <w:rFonts w:ascii="Aptos" w:hAnsi="Aptos"/>
        </w:rPr>
        <w:t>SCG p.7 para. 8.6</w:t>
      </w:r>
    </w:p>
  </w:footnote>
  <w:footnote w:id="12">
    <w:p w14:paraId="0AE5DC70" w14:textId="67F18E85" w:rsidR="00445445" w:rsidRPr="00BD7E91" w:rsidRDefault="00445445">
      <w:pPr>
        <w:pStyle w:val="FootnoteText"/>
        <w:rPr>
          <w:rFonts w:ascii="Aptos" w:hAnsi="Aptos"/>
        </w:rPr>
      </w:pPr>
      <w:r w:rsidRPr="00A20A10">
        <w:rPr>
          <w:rStyle w:val="FootnoteReference"/>
          <w:rFonts w:ascii="Aptos" w:hAnsi="Aptos"/>
        </w:rPr>
        <w:footnoteRef/>
      </w:r>
      <w:r w:rsidRPr="00A20A10">
        <w:rPr>
          <w:rFonts w:ascii="Aptos" w:hAnsi="Aptos"/>
        </w:rPr>
        <w:t xml:space="preserve"> SCG p</w:t>
      </w:r>
      <w:r w:rsidR="00685819" w:rsidRPr="00BD7E91">
        <w:rPr>
          <w:rFonts w:ascii="Aptos" w:hAnsi="Aptos"/>
        </w:rPr>
        <w:t>.</w:t>
      </w:r>
      <w:r w:rsidRPr="00A20A10">
        <w:rPr>
          <w:rFonts w:ascii="Aptos" w:hAnsi="Aptos"/>
        </w:rPr>
        <w:t>16 para. 9.4</w:t>
      </w:r>
    </w:p>
  </w:footnote>
  <w:footnote w:id="13">
    <w:p w14:paraId="47BC3683" w14:textId="6D3218EC" w:rsidR="009E3589" w:rsidRPr="00BD7E91" w:rsidRDefault="009E3589" w:rsidP="00984CC1">
      <w:pPr>
        <w:pStyle w:val="FootnoteText"/>
        <w:jc w:val="both"/>
        <w:rPr>
          <w:rFonts w:ascii="Aptos" w:hAnsi="Aptos"/>
          <w:color w:val="000000" w:themeColor="text1"/>
          <w:highlight w:val="yellow"/>
        </w:rPr>
      </w:pPr>
      <w:r w:rsidRPr="00A20A10">
        <w:rPr>
          <w:rStyle w:val="FootnoteReference"/>
          <w:rFonts w:ascii="Aptos" w:hAnsi="Aptos"/>
          <w:color w:val="000000" w:themeColor="text1"/>
        </w:rPr>
        <w:footnoteRef/>
      </w:r>
      <w:r w:rsidRPr="00A20A10">
        <w:rPr>
          <w:rFonts w:ascii="Aptos" w:hAnsi="Aptos"/>
          <w:color w:val="000000" w:themeColor="text1"/>
        </w:rPr>
        <w:t xml:space="preserve"> </w:t>
      </w:r>
      <w:r w:rsidR="009A0899" w:rsidRPr="00A20A10">
        <w:rPr>
          <w:rFonts w:ascii="Aptos" w:hAnsi="Aptos"/>
          <w:color w:val="000000" w:themeColor="text1"/>
        </w:rPr>
        <w:t>SCG</w:t>
      </w:r>
      <w:r w:rsidRPr="00A20A10">
        <w:rPr>
          <w:rFonts w:ascii="Aptos" w:hAnsi="Aptos"/>
          <w:color w:val="000000" w:themeColor="text1"/>
        </w:rPr>
        <w:t xml:space="preserve"> </w:t>
      </w:r>
      <w:r w:rsidR="00FD6F1A" w:rsidRPr="00A20A10">
        <w:rPr>
          <w:rFonts w:ascii="Aptos" w:hAnsi="Aptos"/>
          <w:color w:val="000000" w:themeColor="text1"/>
        </w:rPr>
        <w:t xml:space="preserve">p.8 </w:t>
      </w:r>
      <w:r w:rsidRPr="00A20A10">
        <w:rPr>
          <w:rFonts w:ascii="Aptos" w:hAnsi="Aptos"/>
          <w:color w:val="000000" w:themeColor="text1"/>
        </w:rPr>
        <w:t>para 8.</w:t>
      </w:r>
      <w:r w:rsidR="00FD6F1A" w:rsidRPr="00A20A10">
        <w:rPr>
          <w:rFonts w:ascii="Aptos" w:hAnsi="Aptos"/>
          <w:color w:val="000000" w:themeColor="text1"/>
        </w:rPr>
        <w:t>12</w:t>
      </w:r>
    </w:p>
  </w:footnote>
  <w:footnote w:id="14">
    <w:p w14:paraId="15130B40" w14:textId="35F31138" w:rsidR="006A0F64" w:rsidRPr="00BD7E91" w:rsidRDefault="006A0F64" w:rsidP="006A0F64">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9A0899" w:rsidRPr="00A20A10">
        <w:rPr>
          <w:rFonts w:ascii="Aptos" w:hAnsi="Aptos"/>
          <w:color w:val="000000" w:themeColor="text1"/>
        </w:rPr>
        <w:t>SCG</w:t>
      </w:r>
      <w:r w:rsidRPr="00A20A10">
        <w:rPr>
          <w:rFonts w:ascii="Aptos" w:hAnsi="Aptos"/>
          <w:color w:val="000000" w:themeColor="text1"/>
        </w:rPr>
        <w:t xml:space="preserve"> </w:t>
      </w:r>
      <w:r w:rsidR="00C421FA" w:rsidRPr="00A20A10">
        <w:rPr>
          <w:rFonts w:ascii="Aptos" w:hAnsi="Aptos"/>
          <w:color w:val="000000" w:themeColor="text1"/>
        </w:rPr>
        <w:t xml:space="preserve">p.16 </w:t>
      </w:r>
      <w:r w:rsidRPr="00A20A10">
        <w:rPr>
          <w:rFonts w:ascii="Aptos" w:hAnsi="Aptos"/>
          <w:color w:val="000000" w:themeColor="text1"/>
        </w:rPr>
        <w:t>para 9.3,</w:t>
      </w:r>
      <w:r w:rsidRPr="00BD7E91">
        <w:rPr>
          <w:rFonts w:ascii="Aptos" w:hAnsi="Aptos"/>
          <w:color w:val="000000" w:themeColor="text1"/>
        </w:rPr>
        <w:t xml:space="preserve"> Claire Lynch POE para 5.1-5.7</w:t>
      </w:r>
    </w:p>
  </w:footnote>
  <w:footnote w:id="15">
    <w:p w14:paraId="5643DFFD" w14:textId="33D2AF15" w:rsidR="009E3589" w:rsidRPr="00BD7E91" w:rsidRDefault="009E358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E19C6" w:rsidRPr="00BD7E91">
        <w:rPr>
          <w:rFonts w:ascii="Aptos" w:hAnsi="Aptos"/>
          <w:color w:val="000000" w:themeColor="text1"/>
        </w:rPr>
        <w:t>CDG.</w:t>
      </w:r>
      <w:r w:rsidR="00DF6D24" w:rsidRPr="00BD7E91">
        <w:rPr>
          <w:rFonts w:ascii="Aptos" w:hAnsi="Aptos"/>
          <w:color w:val="000000" w:themeColor="text1"/>
        </w:rPr>
        <w:t xml:space="preserve">021 </w:t>
      </w:r>
      <w:r w:rsidRPr="00BD7E91">
        <w:rPr>
          <w:rFonts w:ascii="Aptos" w:hAnsi="Aptos"/>
          <w:color w:val="000000" w:themeColor="text1"/>
        </w:rPr>
        <w:t xml:space="preserve">Housing Land Supply </w:t>
      </w:r>
      <w:r w:rsidR="00DE19C6" w:rsidRPr="00BD7E91">
        <w:rPr>
          <w:rFonts w:ascii="Aptos" w:hAnsi="Aptos"/>
          <w:color w:val="000000" w:themeColor="text1"/>
        </w:rPr>
        <w:t>T</w:t>
      </w:r>
      <w:r w:rsidRPr="00BD7E91">
        <w:rPr>
          <w:rFonts w:ascii="Aptos" w:hAnsi="Aptos"/>
          <w:color w:val="000000" w:themeColor="text1"/>
        </w:rPr>
        <w:t xml:space="preserve">opic </w:t>
      </w:r>
      <w:r w:rsidR="00DE19C6" w:rsidRPr="00BD7E91">
        <w:rPr>
          <w:rFonts w:ascii="Aptos" w:hAnsi="Aptos"/>
          <w:color w:val="000000" w:themeColor="text1"/>
        </w:rPr>
        <w:t>P</w:t>
      </w:r>
      <w:r w:rsidRPr="00BD7E91">
        <w:rPr>
          <w:rFonts w:ascii="Aptos" w:hAnsi="Aptos"/>
          <w:color w:val="000000" w:themeColor="text1"/>
        </w:rPr>
        <w:t>aper section 6.1</w:t>
      </w:r>
    </w:p>
  </w:footnote>
  <w:footnote w:id="16">
    <w:p w14:paraId="04F4D510" w14:textId="43EC348B" w:rsidR="009E3589" w:rsidRPr="00BD7E91" w:rsidRDefault="009E358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0405D7" w:rsidRPr="00BD7E91">
        <w:rPr>
          <w:rFonts w:ascii="Aptos" w:hAnsi="Aptos"/>
          <w:color w:val="000000" w:themeColor="text1"/>
        </w:rPr>
        <w:t xml:space="preserve">CDG.002 </w:t>
      </w:r>
      <w:r w:rsidRPr="00BD7E91">
        <w:rPr>
          <w:rFonts w:ascii="Aptos" w:hAnsi="Aptos"/>
          <w:color w:val="000000" w:themeColor="text1"/>
        </w:rPr>
        <w:t>Claire Lynch POE section 4.8 first bullet</w:t>
      </w:r>
    </w:p>
  </w:footnote>
  <w:footnote w:id="17">
    <w:p w14:paraId="3F9E8CB9" w14:textId="1733C2B2" w:rsidR="009E3589" w:rsidRPr="00BD7E91" w:rsidRDefault="009E358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3568DB" w:rsidRPr="00BD7E91">
        <w:rPr>
          <w:rFonts w:ascii="Aptos" w:hAnsi="Aptos"/>
          <w:color w:val="000000" w:themeColor="text1"/>
        </w:rPr>
        <w:t xml:space="preserve">CDG.038 </w:t>
      </w:r>
      <w:r w:rsidRPr="00BD7E91">
        <w:rPr>
          <w:rFonts w:ascii="Aptos" w:hAnsi="Aptos"/>
          <w:color w:val="000000" w:themeColor="text1"/>
        </w:rPr>
        <w:t xml:space="preserve">Claire Lynch </w:t>
      </w:r>
      <w:r w:rsidR="00C421FA" w:rsidRPr="00BD7E91">
        <w:rPr>
          <w:rFonts w:ascii="Aptos" w:hAnsi="Aptos"/>
          <w:color w:val="000000" w:themeColor="text1"/>
        </w:rPr>
        <w:t>Rebuttal Proof of Evidence (“</w:t>
      </w:r>
      <w:r w:rsidRPr="00BD7E91">
        <w:rPr>
          <w:rFonts w:ascii="Aptos" w:hAnsi="Aptos"/>
          <w:color w:val="000000" w:themeColor="text1"/>
        </w:rPr>
        <w:t>RP</w:t>
      </w:r>
      <w:r w:rsidR="00C421FA" w:rsidRPr="00BD7E91">
        <w:rPr>
          <w:rFonts w:ascii="Aptos" w:hAnsi="Aptos"/>
          <w:color w:val="000000" w:themeColor="text1"/>
        </w:rPr>
        <w:t>O</w:t>
      </w:r>
      <w:r w:rsidRPr="00BD7E91">
        <w:rPr>
          <w:rFonts w:ascii="Aptos" w:hAnsi="Aptos"/>
          <w:color w:val="000000" w:themeColor="text1"/>
        </w:rPr>
        <w:t>E</w:t>
      </w:r>
      <w:r w:rsidR="00C421FA" w:rsidRPr="00BD7E91">
        <w:rPr>
          <w:rFonts w:ascii="Aptos" w:hAnsi="Aptos"/>
          <w:color w:val="000000" w:themeColor="text1"/>
        </w:rPr>
        <w:t>”)</w:t>
      </w:r>
      <w:r w:rsidRPr="00BD7E91">
        <w:rPr>
          <w:rFonts w:ascii="Aptos" w:hAnsi="Aptos"/>
          <w:color w:val="000000" w:themeColor="text1"/>
        </w:rPr>
        <w:t xml:space="preserve"> section 2.9</w:t>
      </w:r>
    </w:p>
  </w:footnote>
  <w:footnote w:id="18">
    <w:p w14:paraId="40895ABE" w14:textId="4B7FC3F1" w:rsidR="009E3589" w:rsidRPr="00BD7E91" w:rsidRDefault="009E358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3568DB" w:rsidRPr="00BD7E91">
        <w:rPr>
          <w:rFonts w:ascii="Aptos" w:hAnsi="Aptos"/>
          <w:color w:val="000000" w:themeColor="text1"/>
        </w:rPr>
        <w:t xml:space="preserve">CDG.038 </w:t>
      </w:r>
      <w:r w:rsidRPr="00BD7E91">
        <w:rPr>
          <w:rFonts w:ascii="Aptos" w:hAnsi="Aptos"/>
          <w:color w:val="000000" w:themeColor="text1"/>
        </w:rPr>
        <w:t>Claire Lynch RPOE 2.10-2.14</w:t>
      </w:r>
    </w:p>
  </w:footnote>
  <w:footnote w:id="19">
    <w:p w14:paraId="387F9505" w14:textId="17D32A35" w:rsidR="008546D3" w:rsidRPr="00BD7E91" w:rsidRDefault="008546D3"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CDD.001</w:t>
      </w:r>
      <w:r w:rsidR="0056680B" w:rsidRPr="00BD7E91">
        <w:rPr>
          <w:rFonts w:ascii="Aptos" w:hAnsi="Aptos"/>
          <w:color w:val="000000" w:themeColor="text1"/>
        </w:rPr>
        <w:t xml:space="preserve"> </w:t>
      </w:r>
      <w:r w:rsidR="00176841" w:rsidRPr="00BD7E91">
        <w:rPr>
          <w:rFonts w:ascii="Aptos" w:hAnsi="Aptos"/>
          <w:color w:val="000000" w:themeColor="text1"/>
        </w:rPr>
        <w:t>p.170-171</w:t>
      </w:r>
    </w:p>
  </w:footnote>
  <w:footnote w:id="20">
    <w:p w14:paraId="428E8F3E" w14:textId="7EE76CF1" w:rsidR="003655B2" w:rsidRPr="00BD7E91" w:rsidRDefault="003655B2"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Policy LN3, </w:t>
      </w:r>
      <w:r w:rsidR="009A0899" w:rsidRPr="00BD7E91">
        <w:rPr>
          <w:rFonts w:ascii="Aptos" w:hAnsi="Aptos"/>
          <w:color w:val="000000" w:themeColor="text1"/>
        </w:rPr>
        <w:t>SCG</w:t>
      </w:r>
      <w:r w:rsidRPr="00BD7E91">
        <w:rPr>
          <w:rFonts w:ascii="Aptos" w:hAnsi="Aptos"/>
          <w:color w:val="000000" w:themeColor="text1"/>
        </w:rPr>
        <w:t xml:space="preserve"> </w:t>
      </w:r>
      <w:r w:rsidR="00001E3F" w:rsidRPr="00BD7E91">
        <w:rPr>
          <w:rFonts w:ascii="Aptos" w:hAnsi="Aptos"/>
          <w:color w:val="000000" w:themeColor="text1"/>
        </w:rPr>
        <w:t xml:space="preserve">p.8 </w:t>
      </w:r>
      <w:r w:rsidRPr="00BD7E91">
        <w:rPr>
          <w:rFonts w:ascii="Aptos" w:hAnsi="Aptos"/>
          <w:color w:val="000000" w:themeColor="text1"/>
        </w:rPr>
        <w:t>para 8.12</w:t>
      </w:r>
    </w:p>
  </w:footnote>
  <w:footnote w:id="21">
    <w:p w14:paraId="5D8F45C3" w14:textId="791AE516" w:rsidR="00BA2023" w:rsidRPr="00BD7E91" w:rsidRDefault="00BA2023"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Set out more fully in </w:t>
      </w:r>
      <w:r w:rsidR="00731D18" w:rsidRPr="00BD7E91">
        <w:rPr>
          <w:rFonts w:ascii="Aptos" w:hAnsi="Aptos"/>
          <w:color w:val="000000" w:themeColor="text1"/>
        </w:rPr>
        <w:t xml:space="preserve">CDG.003 </w:t>
      </w:r>
      <w:r w:rsidRPr="00BD7E91">
        <w:rPr>
          <w:rFonts w:ascii="Aptos" w:hAnsi="Aptos"/>
          <w:color w:val="000000" w:themeColor="text1"/>
        </w:rPr>
        <w:t>Atam Verdi POE section 5</w:t>
      </w:r>
    </w:p>
  </w:footnote>
  <w:footnote w:id="22">
    <w:p w14:paraId="1FEEB220" w14:textId="0BD50D37" w:rsidR="00A56E85" w:rsidRPr="00BD7E91" w:rsidRDefault="00A56E85"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Appendix 1 to</w:t>
      </w:r>
      <w:r w:rsidR="00731D18" w:rsidRPr="00BD7E91">
        <w:rPr>
          <w:rFonts w:ascii="Aptos" w:hAnsi="Aptos"/>
          <w:color w:val="000000" w:themeColor="text1"/>
        </w:rPr>
        <w:t xml:space="preserve"> CDG.003</w:t>
      </w:r>
      <w:r w:rsidRPr="00BD7E91">
        <w:rPr>
          <w:rFonts w:ascii="Aptos" w:hAnsi="Aptos"/>
          <w:color w:val="000000" w:themeColor="text1"/>
        </w:rPr>
        <w:t xml:space="preserve"> Atam Verdi RPOE</w:t>
      </w:r>
    </w:p>
  </w:footnote>
  <w:footnote w:id="23">
    <w:p w14:paraId="364773D9" w14:textId="7C8910E3" w:rsidR="001C0C1E" w:rsidRPr="00BD7E91" w:rsidRDefault="001C0C1E"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CDG.022 </w:t>
      </w:r>
      <w:r w:rsidRPr="00BD7E91">
        <w:rPr>
          <w:rFonts w:ascii="Aptos" w:hAnsi="Aptos"/>
          <w:color w:val="000000" w:themeColor="text1"/>
        </w:rPr>
        <w:t>Affordable Housing and Viability Topic Paper para 9.1</w:t>
      </w:r>
    </w:p>
  </w:footnote>
  <w:footnote w:id="24">
    <w:p w14:paraId="61070361" w14:textId="46828FF2" w:rsidR="009E4D43" w:rsidRPr="00BD7E91" w:rsidRDefault="009E4D43"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CDG.022 </w:t>
      </w:r>
      <w:r w:rsidRPr="00BD7E91">
        <w:rPr>
          <w:rFonts w:ascii="Aptos" w:hAnsi="Aptos"/>
          <w:color w:val="000000" w:themeColor="text1"/>
        </w:rPr>
        <w:t xml:space="preserve">Affordable Housing and Viability Topic Paper paras. 9.2-9.4, </w:t>
      </w:r>
      <w:r w:rsidR="00FE5EF7" w:rsidRPr="00BD7E91">
        <w:rPr>
          <w:rFonts w:ascii="Aptos" w:hAnsi="Aptos"/>
          <w:color w:val="000000" w:themeColor="text1"/>
        </w:rPr>
        <w:t xml:space="preserve">CDG.041 </w:t>
      </w:r>
      <w:r w:rsidR="00754562" w:rsidRPr="00BD7E91">
        <w:rPr>
          <w:rFonts w:ascii="Aptos" w:hAnsi="Aptos"/>
          <w:color w:val="000000" w:themeColor="text1"/>
        </w:rPr>
        <w:t xml:space="preserve">Atam </w:t>
      </w:r>
      <w:r w:rsidRPr="00BD7E91">
        <w:rPr>
          <w:rFonts w:ascii="Aptos" w:hAnsi="Aptos"/>
          <w:color w:val="000000" w:themeColor="text1"/>
        </w:rPr>
        <w:t>Verdi RPOE</w:t>
      </w:r>
      <w:r w:rsidR="0087556C" w:rsidRPr="00BD7E91">
        <w:rPr>
          <w:rFonts w:ascii="Aptos" w:hAnsi="Aptos"/>
          <w:color w:val="000000" w:themeColor="text1"/>
        </w:rPr>
        <w:t xml:space="preserve"> Section</w:t>
      </w:r>
      <w:r w:rsidR="001A09DA" w:rsidRPr="00BD7E91">
        <w:rPr>
          <w:rFonts w:ascii="Aptos" w:hAnsi="Aptos"/>
          <w:color w:val="000000" w:themeColor="text1"/>
        </w:rPr>
        <w:t>s 2 and</w:t>
      </w:r>
      <w:r w:rsidR="0087556C" w:rsidRPr="00BD7E91">
        <w:rPr>
          <w:rFonts w:ascii="Aptos" w:hAnsi="Aptos"/>
          <w:color w:val="000000" w:themeColor="text1"/>
        </w:rPr>
        <w:t xml:space="preserve"> 4</w:t>
      </w:r>
    </w:p>
  </w:footnote>
  <w:footnote w:id="25">
    <w:p w14:paraId="0774C56B" w14:textId="5E8F8B54" w:rsidR="0007742F" w:rsidRPr="00BD7E91" w:rsidRDefault="0007742F" w:rsidP="0007742F">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See e.g. </w:t>
      </w:r>
      <w:r w:rsidR="00B55F3F" w:rsidRPr="00BD7E91">
        <w:rPr>
          <w:rFonts w:ascii="Aptos" w:hAnsi="Aptos"/>
          <w:color w:val="000000" w:themeColor="text1"/>
        </w:rPr>
        <w:t xml:space="preserve">CDG.010 </w:t>
      </w:r>
      <w:r w:rsidR="00436A24" w:rsidRPr="00BD7E91">
        <w:rPr>
          <w:rFonts w:ascii="Aptos" w:hAnsi="Aptos"/>
          <w:color w:val="000000" w:themeColor="text1"/>
        </w:rPr>
        <w:t xml:space="preserve">James </w:t>
      </w:r>
      <w:r w:rsidRPr="00BD7E91">
        <w:rPr>
          <w:rFonts w:ascii="Aptos" w:hAnsi="Aptos"/>
          <w:color w:val="000000" w:themeColor="text1"/>
        </w:rPr>
        <w:t xml:space="preserve">Rand POE 2.42, cf. </w:t>
      </w:r>
      <w:r w:rsidR="00E00014" w:rsidRPr="00BD7E91">
        <w:rPr>
          <w:rFonts w:ascii="Aptos" w:hAnsi="Aptos"/>
          <w:color w:val="000000" w:themeColor="text1"/>
        </w:rPr>
        <w:t xml:space="preserve">CDG.004 </w:t>
      </w:r>
      <w:r w:rsidR="00436A24" w:rsidRPr="00BD7E91">
        <w:rPr>
          <w:rFonts w:ascii="Aptos" w:hAnsi="Aptos"/>
          <w:color w:val="000000" w:themeColor="text1"/>
        </w:rPr>
        <w:t xml:space="preserve">Richard </w:t>
      </w:r>
      <w:r w:rsidRPr="00BD7E91">
        <w:rPr>
          <w:rFonts w:ascii="Aptos" w:hAnsi="Aptos"/>
          <w:color w:val="000000" w:themeColor="text1"/>
        </w:rPr>
        <w:t>Fitter POE para.3.2.9</w:t>
      </w:r>
    </w:p>
  </w:footnote>
  <w:footnote w:id="26">
    <w:p w14:paraId="20C910E8" w14:textId="795EE330" w:rsidR="000F20B2" w:rsidRPr="00BD7E91" w:rsidRDefault="000F20B2">
      <w:pPr>
        <w:pStyle w:val="FootnoteText"/>
        <w:rPr>
          <w:rFonts w:ascii="Aptos" w:hAnsi="Aptos"/>
        </w:rPr>
      </w:pPr>
      <w:r w:rsidRPr="00BD7E91">
        <w:rPr>
          <w:rStyle w:val="FootnoteReference"/>
          <w:rFonts w:ascii="Aptos" w:hAnsi="Aptos"/>
        </w:rPr>
        <w:footnoteRef/>
      </w:r>
      <w:r w:rsidRPr="00BD7E91">
        <w:rPr>
          <w:rFonts w:ascii="Aptos" w:hAnsi="Aptos"/>
        </w:rPr>
        <w:t xml:space="preserve"> Highways Topic Paper para. 1.3</w:t>
      </w:r>
    </w:p>
  </w:footnote>
  <w:footnote w:id="27">
    <w:p w14:paraId="77C22ECB" w14:textId="1685F7FC" w:rsidR="00463828" w:rsidRPr="00BD7E91" w:rsidRDefault="00463828">
      <w:pPr>
        <w:pStyle w:val="FootnoteText"/>
        <w:rPr>
          <w:rFonts w:ascii="Aptos" w:hAnsi="Aptos"/>
        </w:rPr>
      </w:pPr>
      <w:r w:rsidRPr="00BD7E91">
        <w:rPr>
          <w:rStyle w:val="FootnoteReference"/>
          <w:rFonts w:ascii="Aptos" w:hAnsi="Aptos"/>
        </w:rPr>
        <w:footnoteRef/>
      </w:r>
      <w:r w:rsidRPr="00BD7E91">
        <w:rPr>
          <w:rFonts w:ascii="Aptos" w:hAnsi="Aptos"/>
        </w:rPr>
        <w:t xml:space="preserve"> Highways Topic Paper paras. 5.1 to 5.9 (an alternative approach to bus contributions has been agreed in principle, overcoming 5.10).</w:t>
      </w:r>
    </w:p>
  </w:footnote>
  <w:footnote w:id="28">
    <w:p w14:paraId="4D1F4A18" w14:textId="288499A3" w:rsidR="000F20B2" w:rsidRPr="00BD7E91" w:rsidRDefault="000F20B2">
      <w:pPr>
        <w:pStyle w:val="FootnoteText"/>
        <w:rPr>
          <w:rFonts w:ascii="Aptos" w:hAnsi="Aptos"/>
        </w:rPr>
      </w:pPr>
      <w:r w:rsidRPr="00BD7E91">
        <w:rPr>
          <w:rStyle w:val="FootnoteReference"/>
          <w:rFonts w:ascii="Aptos" w:hAnsi="Aptos"/>
        </w:rPr>
        <w:footnoteRef/>
      </w:r>
      <w:r w:rsidRPr="00BD7E91">
        <w:rPr>
          <w:rFonts w:ascii="Aptos" w:hAnsi="Aptos"/>
        </w:rPr>
        <w:t xml:space="preserve"> CDA</w:t>
      </w:r>
      <w:r w:rsidR="003A37D9" w:rsidRPr="00BD7E91">
        <w:rPr>
          <w:rFonts w:ascii="Aptos" w:hAnsi="Aptos"/>
        </w:rPr>
        <w:t>.0</w:t>
      </w:r>
      <w:r w:rsidRPr="00BD7E91">
        <w:rPr>
          <w:rFonts w:ascii="Aptos" w:hAnsi="Aptos"/>
        </w:rPr>
        <w:t xml:space="preserve">98, </w:t>
      </w:r>
      <w:r w:rsidR="00E00014" w:rsidRPr="00BD7E91">
        <w:rPr>
          <w:rFonts w:ascii="Aptos" w:hAnsi="Aptos"/>
        </w:rPr>
        <w:t xml:space="preserve">and CDG.004 </w:t>
      </w:r>
      <w:r w:rsidR="00754562" w:rsidRPr="00BD7E91">
        <w:rPr>
          <w:rFonts w:ascii="Aptos" w:hAnsi="Aptos"/>
        </w:rPr>
        <w:t xml:space="preserve">Richard </w:t>
      </w:r>
      <w:r w:rsidRPr="00BD7E91">
        <w:rPr>
          <w:rFonts w:ascii="Aptos" w:hAnsi="Aptos"/>
        </w:rPr>
        <w:t>Fitter POE section 7: para.7.2.2</w:t>
      </w:r>
    </w:p>
  </w:footnote>
  <w:footnote w:id="29">
    <w:p w14:paraId="562C3FB1" w14:textId="699FE886" w:rsidR="003671AE" w:rsidRPr="00BD7E91" w:rsidRDefault="003671AE"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The Appellant seeks to leave a number of issues for consideration at a later date</w:t>
      </w:r>
      <w:r w:rsidR="00D1164B" w:rsidRPr="00BD7E91">
        <w:rPr>
          <w:rFonts w:ascii="Aptos" w:hAnsi="Aptos"/>
          <w:color w:val="000000" w:themeColor="text1"/>
        </w:rPr>
        <w:t xml:space="preserve"> regarding </w:t>
      </w:r>
      <w:r w:rsidR="005F7B5D" w:rsidRPr="00BD7E91">
        <w:rPr>
          <w:rFonts w:ascii="Aptos" w:hAnsi="Aptos"/>
          <w:color w:val="000000" w:themeColor="text1"/>
        </w:rPr>
        <w:t>the suitability of access points</w:t>
      </w:r>
      <w:r w:rsidR="0024306E" w:rsidRPr="00BD7E91">
        <w:rPr>
          <w:rFonts w:ascii="Aptos" w:hAnsi="Aptos"/>
          <w:color w:val="000000" w:themeColor="text1"/>
        </w:rPr>
        <w:t xml:space="preserve">. However, Art 5(3) Development Management Procedure Order 2015 requires the locations of access to be indicated even at outline stage. </w:t>
      </w:r>
      <w:r w:rsidR="005B5EDD" w:rsidRPr="00BD7E91">
        <w:rPr>
          <w:rFonts w:ascii="Aptos" w:hAnsi="Aptos"/>
          <w:color w:val="000000" w:themeColor="text1"/>
        </w:rPr>
        <w:t xml:space="preserve">For vehicles these are set out on the Access and </w:t>
      </w:r>
      <w:r w:rsidR="00B25803" w:rsidRPr="00BD7E91">
        <w:rPr>
          <w:rFonts w:ascii="Aptos" w:hAnsi="Aptos"/>
          <w:color w:val="000000" w:themeColor="text1"/>
        </w:rPr>
        <w:t>M</w:t>
      </w:r>
      <w:r w:rsidR="005B5EDD" w:rsidRPr="00BD7E91">
        <w:rPr>
          <w:rFonts w:ascii="Aptos" w:hAnsi="Aptos"/>
          <w:color w:val="000000" w:themeColor="text1"/>
        </w:rPr>
        <w:t>ovement Parameter Plan at C</w:t>
      </w:r>
      <w:r w:rsidR="00701477" w:rsidRPr="00BD7E91">
        <w:rPr>
          <w:rFonts w:ascii="Aptos" w:hAnsi="Aptos"/>
          <w:color w:val="000000" w:themeColor="text1"/>
        </w:rPr>
        <w:t>D</w:t>
      </w:r>
      <w:r w:rsidR="005B5EDD" w:rsidRPr="00BD7E91">
        <w:rPr>
          <w:rFonts w:ascii="Aptos" w:hAnsi="Aptos"/>
          <w:color w:val="000000" w:themeColor="text1"/>
        </w:rPr>
        <w:t>A.009.</w:t>
      </w:r>
      <w:r w:rsidR="00B25803" w:rsidRPr="00BD7E91">
        <w:rPr>
          <w:rFonts w:ascii="Aptos" w:hAnsi="Aptos"/>
          <w:color w:val="000000" w:themeColor="text1"/>
        </w:rPr>
        <w:t xml:space="preserve"> This is, clearly, so they can be assessed for suitability</w:t>
      </w:r>
      <w:r w:rsidR="00857122" w:rsidRPr="00BD7E91">
        <w:rPr>
          <w:rFonts w:ascii="Aptos" w:hAnsi="Aptos"/>
          <w:color w:val="000000" w:themeColor="text1"/>
        </w:rPr>
        <w:t xml:space="preserve"> (see </w:t>
      </w:r>
      <w:r w:rsidR="00390FFA" w:rsidRPr="00BD7E91">
        <w:rPr>
          <w:rFonts w:ascii="Aptos" w:hAnsi="Aptos"/>
          <w:color w:val="000000" w:themeColor="text1"/>
        </w:rPr>
        <w:t xml:space="preserve">Richard </w:t>
      </w:r>
      <w:r w:rsidR="00857122" w:rsidRPr="00BD7E91">
        <w:rPr>
          <w:rFonts w:ascii="Aptos" w:hAnsi="Aptos"/>
          <w:color w:val="000000" w:themeColor="text1"/>
        </w:rPr>
        <w:t xml:space="preserve">Fitter POE 3.2.14). As he outlines, the main pedestrian and cycle collector road </w:t>
      </w:r>
      <w:r w:rsidR="00A546AC" w:rsidRPr="00BD7E91">
        <w:rPr>
          <w:rFonts w:ascii="Aptos" w:hAnsi="Aptos"/>
          <w:color w:val="000000" w:themeColor="text1"/>
        </w:rPr>
        <w:t xml:space="preserve">and secondary pedestrian and cycle accesses </w:t>
      </w:r>
      <w:r w:rsidR="00857122" w:rsidRPr="00BD7E91">
        <w:rPr>
          <w:rFonts w:ascii="Aptos" w:hAnsi="Aptos"/>
          <w:color w:val="000000" w:themeColor="text1"/>
        </w:rPr>
        <w:t>remain unresolved (</w:t>
      </w:r>
      <w:r w:rsidR="00390FFA" w:rsidRPr="00BD7E91">
        <w:rPr>
          <w:rFonts w:ascii="Aptos" w:hAnsi="Aptos"/>
          <w:color w:val="000000" w:themeColor="text1"/>
        </w:rPr>
        <w:t xml:space="preserve">Richard </w:t>
      </w:r>
      <w:r w:rsidR="00857122" w:rsidRPr="00BD7E91">
        <w:rPr>
          <w:rFonts w:ascii="Aptos" w:hAnsi="Aptos"/>
          <w:color w:val="000000" w:themeColor="text1"/>
        </w:rPr>
        <w:t xml:space="preserve">Fitter POE 4.3.4, </w:t>
      </w:r>
      <w:r w:rsidR="00FC6911" w:rsidRPr="00BD7E91">
        <w:rPr>
          <w:rFonts w:ascii="Aptos" w:hAnsi="Aptos"/>
          <w:color w:val="000000" w:themeColor="text1"/>
        </w:rPr>
        <w:t xml:space="preserve">Richard </w:t>
      </w:r>
      <w:r w:rsidR="00857122" w:rsidRPr="00BD7E91">
        <w:rPr>
          <w:rFonts w:ascii="Aptos" w:hAnsi="Aptos"/>
          <w:color w:val="000000" w:themeColor="text1"/>
        </w:rPr>
        <w:t>Fitter RPOE 2.9).</w:t>
      </w:r>
      <w:r w:rsidR="00B25803" w:rsidRPr="00BD7E91">
        <w:rPr>
          <w:rFonts w:ascii="Aptos" w:hAnsi="Aptos"/>
          <w:color w:val="000000" w:themeColor="text1"/>
        </w:rPr>
        <w:t xml:space="preserve"> </w:t>
      </w:r>
    </w:p>
  </w:footnote>
  <w:footnote w:id="30">
    <w:p w14:paraId="54CBF535" w14:textId="561C7FDA" w:rsidR="0028447E" w:rsidRPr="00BD7E91" w:rsidRDefault="0028447E"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1E7FAD" w:rsidRPr="00BD7E91">
        <w:rPr>
          <w:rFonts w:ascii="Aptos" w:hAnsi="Aptos"/>
          <w:color w:val="000000" w:themeColor="text1"/>
        </w:rPr>
        <w:t xml:space="preserve">CDG.039 </w:t>
      </w:r>
      <w:r w:rsidR="00053A36" w:rsidRPr="00BD7E91">
        <w:rPr>
          <w:rFonts w:ascii="Aptos" w:hAnsi="Aptos"/>
          <w:color w:val="000000" w:themeColor="text1"/>
        </w:rPr>
        <w:t xml:space="preserve">Richard </w:t>
      </w:r>
      <w:r w:rsidRPr="00BD7E91">
        <w:rPr>
          <w:rFonts w:ascii="Aptos" w:hAnsi="Aptos"/>
          <w:color w:val="000000" w:themeColor="text1"/>
        </w:rPr>
        <w:t>Fitter RPOE Sections 2.1-2.4</w:t>
      </w:r>
    </w:p>
  </w:footnote>
  <w:footnote w:id="31">
    <w:p w14:paraId="3195081C" w14:textId="3B9904B8" w:rsidR="002B10BD" w:rsidRPr="00BD7E91" w:rsidRDefault="002B10BD" w:rsidP="002B10BD">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1E7FAD" w:rsidRPr="00BD7E91">
        <w:rPr>
          <w:rFonts w:ascii="Aptos" w:hAnsi="Aptos"/>
          <w:color w:val="000000" w:themeColor="text1"/>
        </w:rPr>
        <w:t xml:space="preserve">CDG.005 </w:t>
      </w:r>
      <w:r w:rsidRPr="00BD7E91">
        <w:rPr>
          <w:rFonts w:ascii="Aptos" w:hAnsi="Aptos"/>
          <w:color w:val="000000" w:themeColor="text1"/>
        </w:rPr>
        <w:t>Colm O’Kelly POE para 6.27</w:t>
      </w:r>
    </w:p>
  </w:footnote>
  <w:footnote w:id="32">
    <w:p w14:paraId="2E55C481" w14:textId="659A3308" w:rsidR="009C30B8" w:rsidRPr="00BD7E91" w:rsidRDefault="009C30B8"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S. 85(1A) Countryside and Rights of Way Act 2000</w:t>
      </w:r>
    </w:p>
  </w:footnote>
  <w:footnote w:id="33">
    <w:p w14:paraId="0C07EBE7" w14:textId="4FD838DE" w:rsidR="002766F2" w:rsidRPr="00BD7E91" w:rsidRDefault="002766F2"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1E7FAD" w:rsidRPr="00BD7E91">
        <w:rPr>
          <w:rFonts w:ascii="Aptos" w:hAnsi="Aptos"/>
          <w:color w:val="000000" w:themeColor="text1"/>
        </w:rPr>
        <w:t xml:space="preserve">CDG.005 </w:t>
      </w:r>
      <w:r w:rsidR="001B73CF" w:rsidRPr="00BD7E91">
        <w:rPr>
          <w:rFonts w:ascii="Aptos" w:hAnsi="Aptos"/>
          <w:color w:val="000000" w:themeColor="text1"/>
        </w:rPr>
        <w:t xml:space="preserve">Colm O’Kelly POE para 2.16 and the elements of the </w:t>
      </w:r>
      <w:r w:rsidRPr="00BD7E91">
        <w:rPr>
          <w:rFonts w:ascii="Aptos" w:hAnsi="Aptos"/>
          <w:color w:val="000000" w:themeColor="text1"/>
        </w:rPr>
        <w:t>Cranborne Chase Partnership Plan</w:t>
      </w:r>
      <w:r w:rsidR="001B73CF" w:rsidRPr="00BD7E91">
        <w:rPr>
          <w:rFonts w:ascii="Aptos" w:hAnsi="Aptos"/>
          <w:color w:val="000000" w:themeColor="text1"/>
        </w:rPr>
        <w:t xml:space="preserve"> (</w:t>
      </w:r>
      <w:r w:rsidRPr="00BD7E91">
        <w:rPr>
          <w:rFonts w:ascii="Aptos" w:hAnsi="Aptos"/>
          <w:color w:val="000000" w:themeColor="text1"/>
        </w:rPr>
        <w:t>CDD.00</w:t>
      </w:r>
      <w:r w:rsidR="001B73CF" w:rsidRPr="00BD7E91">
        <w:rPr>
          <w:rFonts w:ascii="Aptos" w:hAnsi="Aptos"/>
          <w:color w:val="000000" w:themeColor="text1"/>
        </w:rPr>
        <w:t>5) cited therein.</w:t>
      </w:r>
    </w:p>
  </w:footnote>
  <w:footnote w:id="34">
    <w:p w14:paraId="5A8EBFBD" w14:textId="2CFCD147" w:rsidR="00B92466" w:rsidRPr="00BD7E91" w:rsidRDefault="00B92466"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1E7FAD" w:rsidRPr="00BD7E91">
        <w:rPr>
          <w:rFonts w:ascii="Aptos" w:hAnsi="Aptos"/>
          <w:color w:val="000000" w:themeColor="text1"/>
        </w:rPr>
        <w:t xml:space="preserve">CDG.005 </w:t>
      </w:r>
      <w:r w:rsidRPr="00BD7E91">
        <w:rPr>
          <w:rFonts w:ascii="Aptos" w:hAnsi="Aptos"/>
          <w:color w:val="000000" w:themeColor="text1"/>
        </w:rPr>
        <w:t>Colm O’Kelly POE para 6.28-6.35 makes clear that while it is not possible to draw conclusions, based on the Appellant’s evidence, of the impact of increased recreational activity on the AONB a very basic scoping exercise shows impacts on the large visitor attractions and footpaths are unlikely to lead to a significant impact on relative tranquillity, though the effect on smaller attractions less clear.</w:t>
      </w:r>
    </w:p>
  </w:footnote>
  <w:footnote w:id="35">
    <w:p w14:paraId="360A987C" w14:textId="32F74B9C" w:rsidR="00FD0CD0" w:rsidRPr="00BD7E91" w:rsidRDefault="00FD0CD0"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9A0899" w:rsidRPr="00BD7E91">
        <w:rPr>
          <w:rFonts w:ascii="Aptos" w:hAnsi="Aptos"/>
          <w:color w:val="000000" w:themeColor="text1"/>
        </w:rPr>
        <w:t>SCG</w:t>
      </w:r>
      <w:r w:rsidRPr="00BD7E91">
        <w:rPr>
          <w:rFonts w:ascii="Aptos" w:hAnsi="Aptos"/>
          <w:color w:val="000000" w:themeColor="text1"/>
        </w:rPr>
        <w:t xml:space="preserve"> </w:t>
      </w:r>
      <w:r w:rsidR="003A0573" w:rsidRPr="00BD7E91">
        <w:rPr>
          <w:rFonts w:ascii="Aptos" w:hAnsi="Aptos"/>
          <w:color w:val="000000" w:themeColor="text1"/>
        </w:rPr>
        <w:t>p</w:t>
      </w:r>
      <w:r w:rsidR="00A62579" w:rsidRPr="00BD7E91">
        <w:rPr>
          <w:rFonts w:ascii="Aptos" w:hAnsi="Aptos"/>
          <w:color w:val="000000" w:themeColor="text1"/>
        </w:rPr>
        <w:t>.</w:t>
      </w:r>
      <w:r w:rsidR="003A0573" w:rsidRPr="00BD7E91">
        <w:rPr>
          <w:rFonts w:ascii="Aptos" w:hAnsi="Aptos"/>
          <w:color w:val="000000" w:themeColor="text1"/>
        </w:rPr>
        <w:t xml:space="preserve">14 </w:t>
      </w:r>
      <w:r w:rsidRPr="00BD7E91">
        <w:rPr>
          <w:rFonts w:ascii="Aptos" w:hAnsi="Aptos"/>
          <w:color w:val="000000" w:themeColor="text1"/>
        </w:rPr>
        <w:t>para 8.5</w:t>
      </w:r>
      <w:r w:rsidR="003A0573" w:rsidRPr="00BD7E91">
        <w:rPr>
          <w:rFonts w:ascii="Aptos" w:hAnsi="Aptos"/>
          <w:color w:val="000000" w:themeColor="text1"/>
        </w:rPr>
        <w:t>2</w:t>
      </w:r>
    </w:p>
  </w:footnote>
  <w:footnote w:id="36">
    <w:p w14:paraId="3E910300" w14:textId="1C70BBED" w:rsidR="00BA47EB" w:rsidRPr="00BD7E91" w:rsidRDefault="00BA47EB"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See the Council’s Appropriate Assessment at CDB.033</w:t>
      </w:r>
      <w:r w:rsidR="00B948DC" w:rsidRPr="00BD7E91">
        <w:rPr>
          <w:rFonts w:ascii="Aptos" w:hAnsi="Aptos"/>
          <w:color w:val="000000" w:themeColor="text1"/>
        </w:rPr>
        <w:t>.</w:t>
      </w:r>
    </w:p>
  </w:footnote>
  <w:footnote w:id="37">
    <w:p w14:paraId="6C996DD3" w14:textId="479EF100" w:rsidR="007B20B7" w:rsidRPr="00BD7E91" w:rsidRDefault="007B20B7" w:rsidP="00984CC1">
      <w:pPr>
        <w:pStyle w:val="FootnoteText"/>
        <w:jc w:val="both"/>
        <w:rPr>
          <w:rFonts w:ascii="Aptos" w:hAnsi="Aptos"/>
          <w:b/>
          <w:bC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2E633D" w:rsidRPr="00BD7E91">
        <w:rPr>
          <w:rFonts w:ascii="Aptos" w:eastAsiaTheme="majorEastAsia" w:hAnsi="Aptos"/>
          <w:b/>
          <w:bCs/>
          <w:i/>
          <w:iCs/>
          <w:color w:val="000000" w:themeColor="text1"/>
          <w:bdr w:val="none" w:sz="0" w:space="0" w:color="auto" w:frame="1"/>
        </w:rPr>
        <w:t>R (Wyatt) v Fareham BC</w:t>
      </w:r>
      <w:r w:rsidR="002E633D" w:rsidRPr="00BD7E91">
        <w:rPr>
          <w:rFonts w:ascii="Aptos" w:eastAsiaTheme="majorEastAsia" w:hAnsi="Aptos"/>
          <w:b/>
          <w:bCs/>
          <w:color w:val="000000" w:themeColor="text1"/>
          <w:bdr w:val="none" w:sz="0" w:space="0" w:color="auto" w:frame="1"/>
        </w:rPr>
        <w:t xml:space="preserve"> </w:t>
      </w:r>
      <w:r w:rsidR="002E633D" w:rsidRPr="00BD7E91">
        <w:rPr>
          <w:rFonts w:ascii="Aptos" w:eastAsiaTheme="majorEastAsia" w:hAnsi="Aptos"/>
          <w:color w:val="000000" w:themeColor="text1"/>
          <w:bdr w:val="none" w:sz="0" w:space="0" w:color="auto" w:frame="1"/>
        </w:rPr>
        <w:t>[2022] EWCA Civ 983,</w:t>
      </w:r>
      <w:r w:rsidR="002E633D" w:rsidRPr="00BD7E91">
        <w:rPr>
          <w:rFonts w:ascii="Aptos" w:eastAsiaTheme="majorEastAsia" w:hAnsi="Aptos"/>
          <w:b/>
          <w:bCs/>
          <w:color w:val="000000" w:themeColor="text1"/>
          <w:bdr w:val="none" w:sz="0" w:space="0" w:color="auto" w:frame="1"/>
        </w:rPr>
        <w:t xml:space="preserve"> </w:t>
      </w:r>
      <w:r w:rsidR="002E633D" w:rsidRPr="00BD7E91">
        <w:rPr>
          <w:rFonts w:ascii="Aptos" w:eastAsiaTheme="majorEastAsia" w:hAnsi="Aptos"/>
          <w:color w:val="000000" w:themeColor="text1"/>
          <w:bdr w:val="none" w:sz="0" w:space="0" w:color="auto" w:frame="1"/>
        </w:rPr>
        <w:t>[9(4)]</w:t>
      </w:r>
    </w:p>
  </w:footnote>
  <w:footnote w:id="38">
    <w:p w14:paraId="4916F542" w14:textId="1981FEDC" w:rsidR="00564B5F" w:rsidRPr="00BD7E91" w:rsidRDefault="00564B5F"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CDB.021</w:t>
      </w:r>
    </w:p>
  </w:footnote>
  <w:footnote w:id="39">
    <w:p w14:paraId="711C0C73" w14:textId="050FD41A" w:rsidR="00537D22" w:rsidRPr="00BD7E91" w:rsidRDefault="00537D22"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CDA.099</w:t>
      </w:r>
    </w:p>
  </w:footnote>
  <w:footnote w:id="40">
    <w:p w14:paraId="026E31D2" w14:textId="7DCFA17A" w:rsidR="00182F97" w:rsidRPr="00BD7E91" w:rsidRDefault="00182F97"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Appellant’s Response to Case Officer regarding Proposed SANG CDA/59 and Response to Natural England Objection CDA</w:t>
      </w:r>
      <w:r w:rsidR="00F3015D" w:rsidRPr="00BD7E91">
        <w:rPr>
          <w:rFonts w:ascii="Aptos" w:hAnsi="Aptos"/>
          <w:color w:val="000000" w:themeColor="text1"/>
        </w:rPr>
        <w:t>.70</w:t>
      </w:r>
    </w:p>
  </w:footnote>
  <w:footnote w:id="41">
    <w:p w14:paraId="54DD4DCE" w14:textId="14FB5F7E" w:rsidR="00D00E5E" w:rsidRPr="00BD7E91" w:rsidRDefault="00D00E5E"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280C05" w:rsidRPr="00BD7E91">
        <w:rPr>
          <w:rFonts w:ascii="Aptos" w:hAnsi="Aptos"/>
          <w:color w:val="000000" w:themeColor="text1"/>
        </w:rPr>
        <w:t xml:space="preserve">AG Kokott in </w:t>
      </w:r>
      <w:r w:rsidR="00280C05" w:rsidRPr="00BD7E91">
        <w:rPr>
          <w:rFonts w:ascii="Aptos" w:hAnsi="Aptos"/>
          <w:b/>
          <w:bCs/>
          <w:i/>
          <w:iCs/>
          <w:color w:val="000000" w:themeColor="text1"/>
        </w:rPr>
        <w:t>Sweetman v An Bord Pleanála (Case C-258/11)</w:t>
      </w:r>
      <w:r w:rsidR="00280C05" w:rsidRPr="00BD7E91">
        <w:rPr>
          <w:rFonts w:ascii="Aptos" w:hAnsi="Aptos"/>
          <w:color w:val="000000" w:themeColor="text1"/>
        </w:rPr>
        <w:t xml:space="preserve"> [2014] PTSR 1092 [50]</w:t>
      </w:r>
    </w:p>
  </w:footnote>
  <w:footnote w:id="42">
    <w:p w14:paraId="19D2EAC4" w14:textId="71FFF289" w:rsidR="005A65C5" w:rsidRPr="00BD7E91" w:rsidRDefault="005A65C5"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Pr="00BD7E91">
        <w:rPr>
          <w:rFonts w:ascii="Aptos" w:hAnsi="Aptos"/>
          <w:b/>
          <w:bCs/>
          <w:i/>
          <w:iCs/>
          <w:color w:val="000000" w:themeColor="text1"/>
        </w:rPr>
        <w:t>People Over Wind &amp; Sweetman v Coillte Teoranta</w:t>
      </w:r>
      <w:r w:rsidRPr="00BD7E91">
        <w:rPr>
          <w:rFonts w:ascii="Aptos" w:hAnsi="Aptos"/>
          <w:color w:val="000000" w:themeColor="text1"/>
        </w:rPr>
        <w:t xml:space="preserve"> [2018] PTSR 1668, [34]</w:t>
      </w:r>
    </w:p>
  </w:footnote>
  <w:footnote w:id="43">
    <w:p w14:paraId="472DACD3" w14:textId="77777777" w:rsidR="00AE0913" w:rsidRPr="00BD7E91" w:rsidRDefault="00AE0913"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Pr="00BD7E91">
        <w:rPr>
          <w:rFonts w:ascii="Aptos" w:hAnsi="Aptos"/>
          <w:b/>
          <w:bCs/>
          <w:i/>
          <w:iCs/>
          <w:color w:val="000000" w:themeColor="text1"/>
        </w:rPr>
        <w:t>Wyatt</w:t>
      </w:r>
      <w:r w:rsidRPr="00BD7E91">
        <w:rPr>
          <w:rFonts w:ascii="Aptos" w:hAnsi="Aptos"/>
          <w:color w:val="000000" w:themeColor="text1"/>
        </w:rPr>
        <w:t xml:space="preserve"> [9(7)-(9)].</w:t>
      </w:r>
    </w:p>
  </w:footnote>
  <w:footnote w:id="44">
    <w:p w14:paraId="5BB86D4A" w14:textId="1B76DE5A" w:rsidR="00DA4B3D" w:rsidRPr="00BD7E91" w:rsidRDefault="00DA4B3D"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See </w:t>
      </w:r>
      <w:r w:rsidR="00FB4F73">
        <w:rPr>
          <w:rFonts w:ascii="Aptos" w:hAnsi="Aptos"/>
          <w:color w:val="000000" w:themeColor="text1"/>
        </w:rPr>
        <w:t xml:space="preserve">CDG.001 </w:t>
      </w:r>
      <w:r w:rsidR="008F128B" w:rsidRPr="00BD7E91">
        <w:rPr>
          <w:rFonts w:ascii="Aptos" w:hAnsi="Aptos"/>
          <w:color w:val="000000" w:themeColor="text1"/>
        </w:rPr>
        <w:t xml:space="preserve">Ursula Fay </w:t>
      </w:r>
      <w:r w:rsidR="00431A86" w:rsidRPr="00BD7E91">
        <w:rPr>
          <w:rFonts w:ascii="Aptos" w:hAnsi="Aptos"/>
          <w:color w:val="000000" w:themeColor="text1"/>
        </w:rPr>
        <w:t xml:space="preserve">POE </w:t>
      </w:r>
      <w:r w:rsidR="008F128B" w:rsidRPr="00BD7E91">
        <w:rPr>
          <w:rFonts w:ascii="Aptos" w:hAnsi="Aptos"/>
          <w:color w:val="000000" w:themeColor="text1"/>
        </w:rPr>
        <w:t xml:space="preserve">Appendix A para 8.4 and Fig 7 </w:t>
      </w:r>
      <w:r w:rsidR="00FC5FA9" w:rsidRPr="00BD7E91">
        <w:rPr>
          <w:rFonts w:ascii="Aptos" w:hAnsi="Aptos"/>
          <w:color w:val="000000" w:themeColor="text1"/>
        </w:rPr>
        <w:t xml:space="preserve">(p. 57) </w:t>
      </w:r>
      <w:r w:rsidR="008F128B" w:rsidRPr="00BD7E91">
        <w:rPr>
          <w:rFonts w:ascii="Aptos" w:hAnsi="Aptos"/>
          <w:color w:val="000000" w:themeColor="text1"/>
        </w:rPr>
        <w:t>for the location</w:t>
      </w:r>
    </w:p>
  </w:footnote>
  <w:footnote w:id="45">
    <w:p w14:paraId="7DB8D00B" w14:textId="77777777" w:rsidR="00037ED3" w:rsidRPr="00BD7E91" w:rsidRDefault="00037ED3" w:rsidP="00037ED3">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Which it seeks to fix in the Land Use Parameter Plans CDA.011</w:t>
      </w:r>
    </w:p>
  </w:footnote>
  <w:footnote w:id="46">
    <w:p w14:paraId="2C81E4D6" w14:textId="675F9A59" w:rsidR="00711C65" w:rsidRPr="00BD7E91" w:rsidRDefault="00711C65"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CDG.036 </w:t>
      </w:r>
      <w:r w:rsidRPr="00BD7E91">
        <w:rPr>
          <w:rFonts w:ascii="Aptos" w:hAnsi="Aptos"/>
          <w:color w:val="000000" w:themeColor="text1"/>
        </w:rPr>
        <w:t xml:space="preserve">Local Centre and Retail Topic Paper paras 2.7, </w:t>
      </w:r>
      <w:r w:rsidR="009C5710" w:rsidRPr="00BD7E91">
        <w:rPr>
          <w:rFonts w:ascii="Aptos" w:hAnsi="Aptos"/>
          <w:color w:val="000000" w:themeColor="text1"/>
        </w:rPr>
        <w:t>2.12</w:t>
      </w:r>
    </w:p>
  </w:footnote>
  <w:footnote w:id="47">
    <w:p w14:paraId="1B6030E1" w14:textId="38DBC216" w:rsidR="003C1F89" w:rsidRPr="00BD7E91" w:rsidRDefault="003C1F8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CDG.036 </w:t>
      </w:r>
      <w:r w:rsidRPr="00BD7E91">
        <w:rPr>
          <w:rFonts w:ascii="Aptos" w:hAnsi="Aptos"/>
          <w:color w:val="000000" w:themeColor="text1"/>
        </w:rPr>
        <w:t>Local Centre and Retail Topic Paper paras 2.</w:t>
      </w:r>
      <w:r w:rsidR="00371ADD" w:rsidRPr="00BD7E91">
        <w:rPr>
          <w:rFonts w:ascii="Aptos" w:hAnsi="Aptos"/>
          <w:color w:val="000000" w:themeColor="text1"/>
        </w:rPr>
        <w:t>9, 2.14</w:t>
      </w:r>
    </w:p>
  </w:footnote>
  <w:footnote w:id="48">
    <w:p w14:paraId="7C723D2E" w14:textId="6B01FA28" w:rsidR="00143C65" w:rsidRPr="00BD7E91" w:rsidRDefault="00143C65"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CDG.036 </w:t>
      </w:r>
      <w:r w:rsidRPr="00BD7E91">
        <w:rPr>
          <w:rFonts w:ascii="Aptos" w:hAnsi="Aptos"/>
          <w:color w:val="000000" w:themeColor="text1"/>
        </w:rPr>
        <w:t>Local Centre and Retail Topic Paper para 2.22</w:t>
      </w:r>
    </w:p>
  </w:footnote>
  <w:footnote w:id="49">
    <w:p w14:paraId="142F56B5" w14:textId="3A3CD379" w:rsidR="00403552" w:rsidRPr="00BD7E91" w:rsidRDefault="00403552"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CDG.036 </w:t>
      </w:r>
      <w:r w:rsidRPr="00BD7E91">
        <w:rPr>
          <w:rFonts w:ascii="Aptos" w:hAnsi="Aptos"/>
          <w:color w:val="000000" w:themeColor="text1"/>
        </w:rPr>
        <w:t xml:space="preserve">Local Centre and Retail Topic Paper </w:t>
      </w:r>
      <w:r w:rsidR="00711C65" w:rsidRPr="00BD7E91">
        <w:rPr>
          <w:rFonts w:ascii="Aptos" w:hAnsi="Aptos"/>
          <w:color w:val="000000" w:themeColor="text1"/>
        </w:rPr>
        <w:t>paras 2.18-2.19</w:t>
      </w:r>
    </w:p>
  </w:footnote>
  <w:footnote w:id="50">
    <w:p w14:paraId="5656654D" w14:textId="09F2173A" w:rsidR="004C1C1E" w:rsidRPr="00BD7E91" w:rsidRDefault="004C1C1E"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CDG.036 </w:t>
      </w:r>
      <w:r w:rsidRPr="00BD7E91">
        <w:rPr>
          <w:rFonts w:ascii="Aptos" w:hAnsi="Aptos"/>
          <w:color w:val="000000" w:themeColor="text1"/>
        </w:rPr>
        <w:t>Local Centre and Retail Topic Paper paras 2.10, 2.15</w:t>
      </w:r>
    </w:p>
  </w:footnote>
  <w:footnote w:id="51">
    <w:p w14:paraId="1251E1BB" w14:textId="5193C36E" w:rsidR="00195A76" w:rsidRPr="00BD7E91" w:rsidRDefault="00195A76"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DF6D24" w:rsidRPr="00BD7E91">
        <w:rPr>
          <w:rFonts w:ascii="Aptos" w:hAnsi="Aptos"/>
          <w:color w:val="000000" w:themeColor="text1"/>
        </w:rPr>
        <w:t xml:space="preserve">CDG.036 </w:t>
      </w:r>
      <w:r w:rsidRPr="00BD7E91">
        <w:rPr>
          <w:rFonts w:ascii="Aptos" w:hAnsi="Aptos"/>
          <w:color w:val="000000" w:themeColor="text1"/>
        </w:rPr>
        <w:t>Local Centre and Retail Topic Paper paras 2.11, 2.16</w:t>
      </w:r>
    </w:p>
  </w:footnote>
  <w:footnote w:id="52">
    <w:p w14:paraId="22CCB9A4" w14:textId="677832E6" w:rsidR="00046C79" w:rsidRPr="00BD7E91" w:rsidRDefault="00046C7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CDA.077</w:t>
      </w:r>
    </w:p>
  </w:footnote>
  <w:footnote w:id="53">
    <w:p w14:paraId="4D58D84C" w14:textId="7BE82E7E" w:rsidR="00046C79" w:rsidRPr="00BD7E91" w:rsidRDefault="00046C79"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In </w:t>
      </w:r>
      <w:r w:rsidR="00282FCF">
        <w:rPr>
          <w:rFonts w:ascii="Aptos" w:hAnsi="Aptos"/>
          <w:color w:val="000000" w:themeColor="text1"/>
        </w:rPr>
        <w:t xml:space="preserve">CDG.008 </w:t>
      </w:r>
      <w:r w:rsidR="00CA532D" w:rsidRPr="00BD7E91">
        <w:rPr>
          <w:rFonts w:ascii="Aptos" w:hAnsi="Aptos"/>
          <w:color w:val="000000" w:themeColor="text1"/>
        </w:rPr>
        <w:t>Christine</w:t>
      </w:r>
      <w:r w:rsidRPr="00BD7E91">
        <w:rPr>
          <w:rFonts w:ascii="Aptos" w:hAnsi="Aptos"/>
          <w:color w:val="000000" w:themeColor="text1"/>
        </w:rPr>
        <w:t xml:space="preserve"> Reeves POE</w:t>
      </w:r>
      <w:r w:rsidR="006C1E1F" w:rsidRPr="00BD7E91">
        <w:rPr>
          <w:rFonts w:ascii="Aptos" w:hAnsi="Aptos"/>
          <w:color w:val="000000" w:themeColor="text1"/>
        </w:rPr>
        <w:t xml:space="preserve"> Appendix CR/1</w:t>
      </w:r>
      <w:r w:rsidR="00E03AAB" w:rsidRPr="00BD7E91">
        <w:rPr>
          <w:rFonts w:ascii="Aptos" w:hAnsi="Aptos"/>
          <w:color w:val="000000" w:themeColor="text1"/>
        </w:rPr>
        <w:t xml:space="preserve"> paras 2.3-2.7</w:t>
      </w:r>
    </w:p>
  </w:footnote>
  <w:footnote w:id="54">
    <w:p w14:paraId="219455F0" w14:textId="58AFA21F" w:rsidR="00CA532D" w:rsidRPr="00BD7E91" w:rsidRDefault="00CA532D"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282FCF">
        <w:rPr>
          <w:rFonts w:ascii="Aptos" w:hAnsi="Aptos"/>
          <w:color w:val="000000" w:themeColor="text1"/>
        </w:rPr>
        <w:t xml:space="preserve">CDG.008 </w:t>
      </w:r>
      <w:r w:rsidRPr="00BD7E91">
        <w:rPr>
          <w:rFonts w:ascii="Aptos" w:hAnsi="Aptos"/>
          <w:color w:val="000000" w:themeColor="text1"/>
        </w:rPr>
        <w:t>Christine Reeves POE Appendix CR/4</w:t>
      </w:r>
    </w:p>
  </w:footnote>
  <w:footnote w:id="55">
    <w:p w14:paraId="5E0064C8" w14:textId="6B0A2361" w:rsidR="0023397E" w:rsidRPr="00BD7E91" w:rsidRDefault="0023397E"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282FCF">
        <w:rPr>
          <w:rFonts w:ascii="Aptos" w:hAnsi="Aptos"/>
          <w:color w:val="000000" w:themeColor="text1"/>
        </w:rPr>
        <w:t xml:space="preserve">CDG.008 </w:t>
      </w:r>
      <w:r w:rsidR="00431A86" w:rsidRPr="00BD7E91">
        <w:rPr>
          <w:rFonts w:ascii="Aptos" w:hAnsi="Aptos"/>
          <w:color w:val="000000" w:themeColor="text1"/>
        </w:rPr>
        <w:t xml:space="preserve">Christine </w:t>
      </w:r>
      <w:r w:rsidRPr="00BD7E91">
        <w:rPr>
          <w:rFonts w:ascii="Aptos" w:hAnsi="Aptos"/>
          <w:color w:val="000000" w:themeColor="text1"/>
        </w:rPr>
        <w:t>Reeves POE Appendix CR/1</w:t>
      </w:r>
    </w:p>
  </w:footnote>
  <w:footnote w:id="56">
    <w:p w14:paraId="5265E2AB" w14:textId="7413B7EC" w:rsidR="00A97A1F" w:rsidRPr="00BD7E91" w:rsidRDefault="00A97A1F"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352B5E" w:rsidRPr="00BD7E91">
        <w:rPr>
          <w:rFonts w:ascii="Aptos" w:hAnsi="Aptos"/>
          <w:color w:val="000000" w:themeColor="text1"/>
        </w:rPr>
        <w:t xml:space="preserve">CDG.036 </w:t>
      </w:r>
      <w:r w:rsidR="00BA0081" w:rsidRPr="00BD7E91">
        <w:rPr>
          <w:rFonts w:ascii="Aptos" w:hAnsi="Aptos"/>
          <w:color w:val="000000" w:themeColor="text1"/>
        </w:rPr>
        <w:t>Local Centre and Retail Topic Paper para 4.30</w:t>
      </w:r>
      <w:r w:rsidR="004F1AA2" w:rsidRPr="00BD7E91">
        <w:rPr>
          <w:rFonts w:ascii="Aptos" w:hAnsi="Aptos"/>
          <w:color w:val="000000" w:themeColor="text1"/>
        </w:rPr>
        <w:t xml:space="preserve">. </w:t>
      </w:r>
      <w:r w:rsidRPr="00BD7E91">
        <w:rPr>
          <w:rFonts w:ascii="Aptos" w:hAnsi="Aptos"/>
          <w:color w:val="000000" w:themeColor="text1"/>
        </w:rPr>
        <w:t xml:space="preserve">A similar concern arose in relation to whether office use should be permitted within the business park </w:t>
      </w:r>
      <w:r w:rsidR="00E44229" w:rsidRPr="00BD7E91">
        <w:rPr>
          <w:rFonts w:ascii="Aptos" w:hAnsi="Aptos"/>
          <w:color w:val="000000" w:themeColor="text1"/>
        </w:rPr>
        <w:t>(</w:t>
      </w:r>
      <w:r w:rsidR="00B44CDD">
        <w:rPr>
          <w:rFonts w:ascii="Aptos" w:hAnsi="Aptos"/>
          <w:color w:val="000000" w:themeColor="text1"/>
        </w:rPr>
        <w:t xml:space="preserve">CDG.008 </w:t>
      </w:r>
      <w:r w:rsidR="00E44229" w:rsidRPr="00BD7E91">
        <w:rPr>
          <w:rFonts w:ascii="Aptos" w:hAnsi="Aptos"/>
          <w:color w:val="000000" w:themeColor="text1"/>
        </w:rPr>
        <w:t xml:space="preserve">Christine Reeves PoE para 2.14), but the Appellant now accepts this can be resolved by condition: </w:t>
      </w:r>
      <w:r w:rsidR="001E6C83">
        <w:rPr>
          <w:rFonts w:ascii="Aptos" w:hAnsi="Aptos"/>
          <w:color w:val="000000" w:themeColor="text1"/>
        </w:rPr>
        <w:t>CDG.036</w:t>
      </w:r>
      <w:r w:rsidR="001E6C83" w:rsidRPr="001E6C83">
        <w:rPr>
          <w:rFonts w:ascii="Aptos" w:hAnsi="Aptos"/>
          <w:color w:val="000000" w:themeColor="text1"/>
        </w:rPr>
        <w:t xml:space="preserve"> </w:t>
      </w:r>
      <w:r w:rsidR="001E6C83" w:rsidRPr="00BD7E91">
        <w:rPr>
          <w:rFonts w:ascii="Aptos" w:hAnsi="Aptos"/>
          <w:color w:val="000000" w:themeColor="text1"/>
        </w:rPr>
        <w:t xml:space="preserve">Local Centre and Retail Topic Paper para </w:t>
      </w:r>
      <w:r w:rsidR="001E6C83">
        <w:rPr>
          <w:rFonts w:ascii="Aptos" w:hAnsi="Aptos"/>
          <w:color w:val="000000" w:themeColor="text1"/>
        </w:rPr>
        <w:t>3.12</w:t>
      </w:r>
      <w:r w:rsidR="00F62224">
        <w:rPr>
          <w:rFonts w:ascii="Aptos" w:hAnsi="Aptos"/>
          <w:color w:val="000000" w:themeColor="text1"/>
        </w:rPr>
        <w:t>.</w:t>
      </w:r>
    </w:p>
  </w:footnote>
  <w:footnote w:id="57">
    <w:p w14:paraId="71927B2B" w14:textId="7A7E7440" w:rsidR="00472707" w:rsidRPr="00BD7E91" w:rsidRDefault="00472707"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AE19C3" w:rsidRPr="00BD7E91">
        <w:rPr>
          <w:rFonts w:ascii="Aptos" w:hAnsi="Aptos"/>
          <w:color w:val="000000" w:themeColor="text1"/>
        </w:rPr>
        <w:t xml:space="preserve">CDG.036 </w:t>
      </w:r>
      <w:r w:rsidRPr="00BD7E91">
        <w:rPr>
          <w:rFonts w:ascii="Aptos" w:hAnsi="Aptos"/>
          <w:color w:val="000000" w:themeColor="text1"/>
        </w:rPr>
        <w:t>Local Centre and Retail Topic Paper para 4.31-4.32</w:t>
      </w:r>
    </w:p>
  </w:footnote>
  <w:footnote w:id="58">
    <w:p w14:paraId="7F300B7A" w14:textId="6ECCFE55" w:rsidR="00E9010D" w:rsidRPr="00BD7E91" w:rsidRDefault="00E9010D"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AE19C3" w:rsidRPr="00BD7E91">
        <w:rPr>
          <w:rFonts w:ascii="Aptos" w:hAnsi="Aptos"/>
          <w:color w:val="000000" w:themeColor="text1"/>
        </w:rPr>
        <w:t xml:space="preserve">CDG.036 </w:t>
      </w:r>
      <w:r w:rsidRPr="00BD7E91">
        <w:rPr>
          <w:rFonts w:ascii="Aptos" w:hAnsi="Aptos"/>
          <w:color w:val="000000" w:themeColor="text1"/>
        </w:rPr>
        <w:t>Local Centre and Retail Topic Paper para 4.26</w:t>
      </w:r>
    </w:p>
  </w:footnote>
  <w:footnote w:id="59">
    <w:p w14:paraId="3E3328E7" w14:textId="290E7DA8" w:rsidR="009B723F" w:rsidRPr="00BD7E91" w:rsidRDefault="009B723F"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F62224">
        <w:rPr>
          <w:rFonts w:ascii="Aptos" w:hAnsi="Aptos"/>
          <w:color w:val="000000" w:themeColor="text1"/>
        </w:rPr>
        <w:t xml:space="preserve">CDG.008 </w:t>
      </w:r>
      <w:r w:rsidR="00431A86" w:rsidRPr="00BD7E91">
        <w:rPr>
          <w:rFonts w:ascii="Aptos" w:hAnsi="Aptos"/>
          <w:color w:val="000000" w:themeColor="text1"/>
        </w:rPr>
        <w:t xml:space="preserve">Christine </w:t>
      </w:r>
      <w:r w:rsidR="001A2949" w:rsidRPr="00BD7E91">
        <w:rPr>
          <w:rFonts w:ascii="Aptos" w:hAnsi="Aptos"/>
          <w:color w:val="000000" w:themeColor="text1"/>
        </w:rPr>
        <w:t>Reeves POE 7.3-7.</w:t>
      </w:r>
      <w:r w:rsidR="00BF000F" w:rsidRPr="00BD7E91">
        <w:rPr>
          <w:rFonts w:ascii="Aptos" w:hAnsi="Aptos"/>
          <w:color w:val="000000" w:themeColor="text1"/>
        </w:rPr>
        <w:t>12.</w:t>
      </w:r>
    </w:p>
  </w:footnote>
  <w:footnote w:id="60">
    <w:p w14:paraId="4B40539A" w14:textId="572DBCAC" w:rsidR="005C2008" w:rsidRPr="00BD7E91" w:rsidRDefault="005C2008"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F62224">
        <w:rPr>
          <w:rFonts w:ascii="Aptos" w:hAnsi="Aptos"/>
          <w:color w:val="000000" w:themeColor="text1"/>
        </w:rPr>
        <w:t xml:space="preserve">CDG.008 </w:t>
      </w:r>
      <w:r w:rsidR="00431A86" w:rsidRPr="00BD7E91">
        <w:rPr>
          <w:rFonts w:ascii="Aptos" w:hAnsi="Aptos"/>
          <w:color w:val="000000" w:themeColor="text1"/>
        </w:rPr>
        <w:t xml:space="preserve">Christine </w:t>
      </w:r>
      <w:r w:rsidRPr="00BD7E91">
        <w:rPr>
          <w:rFonts w:ascii="Aptos" w:hAnsi="Aptos"/>
          <w:color w:val="000000" w:themeColor="text1"/>
        </w:rPr>
        <w:t>Reeves POE section 7, 8</w:t>
      </w:r>
    </w:p>
  </w:footnote>
  <w:footnote w:id="61">
    <w:p w14:paraId="02CC4E78" w14:textId="02C34F29" w:rsidR="00073E3B" w:rsidRPr="00BD7E91" w:rsidRDefault="00073E3B"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6E5B06" w:rsidRPr="00BD7E91">
        <w:rPr>
          <w:rFonts w:ascii="Aptos" w:hAnsi="Aptos"/>
          <w:color w:val="000000" w:themeColor="text1"/>
        </w:rPr>
        <w:t xml:space="preserve">CDG.034 </w:t>
      </w:r>
      <w:r w:rsidRPr="00BD7E91">
        <w:rPr>
          <w:rFonts w:ascii="Aptos" w:hAnsi="Aptos"/>
          <w:color w:val="000000" w:themeColor="text1"/>
        </w:rPr>
        <w:t xml:space="preserve">Education </w:t>
      </w:r>
      <w:r w:rsidR="00CC6E55" w:rsidRPr="00BD7E91">
        <w:rPr>
          <w:rFonts w:ascii="Aptos" w:hAnsi="Aptos"/>
          <w:color w:val="000000" w:themeColor="text1"/>
        </w:rPr>
        <w:t>T</w:t>
      </w:r>
      <w:r w:rsidRPr="00BD7E91">
        <w:rPr>
          <w:rFonts w:ascii="Aptos" w:hAnsi="Aptos"/>
          <w:color w:val="000000" w:themeColor="text1"/>
        </w:rPr>
        <w:t>opic Paper para 3.2.7</w:t>
      </w:r>
    </w:p>
  </w:footnote>
  <w:footnote w:id="62">
    <w:p w14:paraId="72EAF269" w14:textId="4D3164A9" w:rsidR="00073E3B" w:rsidRPr="00BD7E91" w:rsidRDefault="00073E3B"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6E5B06" w:rsidRPr="00BD7E91">
        <w:rPr>
          <w:rFonts w:ascii="Aptos" w:hAnsi="Aptos"/>
          <w:color w:val="000000" w:themeColor="text1"/>
        </w:rPr>
        <w:t xml:space="preserve">CDG.034 </w:t>
      </w:r>
      <w:r w:rsidRPr="00BD7E91">
        <w:rPr>
          <w:rFonts w:ascii="Aptos" w:hAnsi="Aptos"/>
          <w:color w:val="000000" w:themeColor="text1"/>
        </w:rPr>
        <w:t xml:space="preserve">Education </w:t>
      </w:r>
      <w:r w:rsidR="00CC6E55" w:rsidRPr="00BD7E91">
        <w:rPr>
          <w:rFonts w:ascii="Aptos" w:hAnsi="Aptos"/>
          <w:color w:val="000000" w:themeColor="text1"/>
        </w:rPr>
        <w:t>T</w:t>
      </w:r>
      <w:r w:rsidRPr="00BD7E91">
        <w:rPr>
          <w:rFonts w:ascii="Aptos" w:hAnsi="Aptos"/>
          <w:color w:val="000000" w:themeColor="text1"/>
        </w:rPr>
        <w:t xml:space="preserve">opic </w:t>
      </w:r>
      <w:r w:rsidR="00CC6E55" w:rsidRPr="00BD7E91">
        <w:rPr>
          <w:rFonts w:ascii="Aptos" w:hAnsi="Aptos"/>
          <w:color w:val="000000" w:themeColor="text1"/>
        </w:rPr>
        <w:t>P</w:t>
      </w:r>
      <w:r w:rsidRPr="00BD7E91">
        <w:rPr>
          <w:rFonts w:ascii="Aptos" w:hAnsi="Aptos"/>
          <w:color w:val="000000" w:themeColor="text1"/>
        </w:rPr>
        <w:t>aper para 2.3, 3.2.12</w:t>
      </w:r>
    </w:p>
  </w:footnote>
  <w:footnote w:id="63">
    <w:p w14:paraId="3452FD6F" w14:textId="42F319DC" w:rsidR="0042114F" w:rsidRPr="00BD7E91" w:rsidRDefault="0042114F"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F62224">
        <w:rPr>
          <w:rFonts w:ascii="Aptos" w:hAnsi="Aptos"/>
          <w:color w:val="000000" w:themeColor="text1"/>
        </w:rPr>
        <w:t xml:space="preserve">CDG.043 </w:t>
      </w:r>
      <w:r w:rsidR="00431A86" w:rsidRPr="00BD7E91">
        <w:rPr>
          <w:rFonts w:ascii="Aptos" w:hAnsi="Aptos"/>
          <w:color w:val="000000" w:themeColor="text1"/>
        </w:rPr>
        <w:t xml:space="preserve">John </w:t>
      </w:r>
      <w:r w:rsidR="006C6C1C" w:rsidRPr="00BD7E91">
        <w:rPr>
          <w:rFonts w:ascii="Aptos" w:hAnsi="Aptos"/>
          <w:color w:val="000000" w:themeColor="text1"/>
        </w:rPr>
        <w:t>Powell RPOE 2.3.1</w:t>
      </w:r>
    </w:p>
  </w:footnote>
  <w:footnote w:id="64">
    <w:p w14:paraId="6922A5C5" w14:textId="3EB25381" w:rsidR="00A06ACF" w:rsidRPr="00BD7E91" w:rsidRDefault="00A06ACF"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6E5B06" w:rsidRPr="00BD7E91">
        <w:rPr>
          <w:rFonts w:ascii="Aptos" w:hAnsi="Aptos"/>
          <w:color w:val="000000" w:themeColor="text1"/>
        </w:rPr>
        <w:t xml:space="preserve">CDG.034 </w:t>
      </w:r>
      <w:r w:rsidRPr="00BD7E91">
        <w:rPr>
          <w:rFonts w:ascii="Aptos" w:hAnsi="Aptos"/>
          <w:color w:val="000000" w:themeColor="text1"/>
        </w:rPr>
        <w:t xml:space="preserve">Education </w:t>
      </w:r>
      <w:r w:rsidR="00CC6E55" w:rsidRPr="00BD7E91">
        <w:rPr>
          <w:rFonts w:ascii="Aptos" w:hAnsi="Aptos"/>
          <w:color w:val="000000" w:themeColor="text1"/>
        </w:rPr>
        <w:t>T</w:t>
      </w:r>
      <w:r w:rsidRPr="00BD7E91">
        <w:rPr>
          <w:rFonts w:ascii="Aptos" w:hAnsi="Aptos"/>
          <w:color w:val="000000" w:themeColor="text1"/>
        </w:rPr>
        <w:t xml:space="preserve">opic </w:t>
      </w:r>
      <w:r w:rsidR="00CC6E55" w:rsidRPr="00BD7E91">
        <w:rPr>
          <w:rFonts w:ascii="Aptos" w:hAnsi="Aptos"/>
          <w:color w:val="000000" w:themeColor="text1"/>
        </w:rPr>
        <w:t>P</w:t>
      </w:r>
      <w:r w:rsidRPr="00BD7E91">
        <w:rPr>
          <w:rFonts w:ascii="Aptos" w:hAnsi="Aptos"/>
          <w:color w:val="000000" w:themeColor="text1"/>
        </w:rPr>
        <w:t>aper para 2.1</w:t>
      </w:r>
    </w:p>
  </w:footnote>
  <w:footnote w:id="65">
    <w:p w14:paraId="54AEE40B" w14:textId="13BA0DD7" w:rsidR="00D221B6" w:rsidRPr="00BD7E91" w:rsidRDefault="00D221B6"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6E5B06" w:rsidRPr="00BD7E91">
        <w:rPr>
          <w:rFonts w:ascii="Aptos" w:hAnsi="Aptos"/>
          <w:color w:val="000000" w:themeColor="text1"/>
        </w:rPr>
        <w:t xml:space="preserve">CDG.034 </w:t>
      </w:r>
      <w:r w:rsidRPr="00BD7E91">
        <w:rPr>
          <w:rFonts w:ascii="Aptos" w:hAnsi="Aptos"/>
          <w:color w:val="000000" w:themeColor="text1"/>
        </w:rPr>
        <w:t>Education Topic Paper para 3.2.6</w:t>
      </w:r>
    </w:p>
  </w:footnote>
  <w:footnote w:id="66">
    <w:p w14:paraId="0FC2F111" w14:textId="57498524" w:rsidR="0028630A" w:rsidRPr="00BD7E91" w:rsidRDefault="0028630A" w:rsidP="00984CC1">
      <w:pPr>
        <w:pStyle w:val="FootnoteText"/>
        <w:jc w:val="both"/>
        <w:rPr>
          <w:rFonts w:ascii="Aptos" w:hAnsi="Aptos"/>
          <w:color w:val="000000" w:themeColor="text1"/>
        </w:rPr>
      </w:pPr>
      <w:r w:rsidRPr="00BD7E91">
        <w:rPr>
          <w:rStyle w:val="FootnoteReference"/>
          <w:rFonts w:ascii="Aptos" w:hAnsi="Aptos"/>
          <w:color w:val="000000" w:themeColor="text1"/>
        </w:rPr>
        <w:footnoteRef/>
      </w:r>
      <w:r w:rsidRPr="00BD7E91">
        <w:rPr>
          <w:rFonts w:ascii="Aptos" w:hAnsi="Aptos"/>
          <w:color w:val="000000" w:themeColor="text1"/>
        </w:rPr>
        <w:t xml:space="preserve"> </w:t>
      </w:r>
      <w:r w:rsidR="006E5B06" w:rsidRPr="00BD7E91">
        <w:rPr>
          <w:rFonts w:ascii="Aptos" w:hAnsi="Aptos"/>
          <w:color w:val="000000" w:themeColor="text1"/>
        </w:rPr>
        <w:t xml:space="preserve">CDG.034 </w:t>
      </w:r>
      <w:r w:rsidRPr="00BD7E91">
        <w:rPr>
          <w:rFonts w:ascii="Aptos" w:hAnsi="Aptos"/>
          <w:color w:val="000000" w:themeColor="text1"/>
        </w:rPr>
        <w:t xml:space="preserve">Education </w:t>
      </w:r>
      <w:r w:rsidR="00CC6E55" w:rsidRPr="00BD7E91">
        <w:rPr>
          <w:rFonts w:ascii="Aptos" w:hAnsi="Aptos"/>
          <w:color w:val="000000" w:themeColor="text1"/>
        </w:rPr>
        <w:t>T</w:t>
      </w:r>
      <w:r w:rsidRPr="00BD7E91">
        <w:rPr>
          <w:rFonts w:ascii="Aptos" w:hAnsi="Aptos"/>
          <w:color w:val="000000" w:themeColor="text1"/>
        </w:rPr>
        <w:t xml:space="preserve">opic </w:t>
      </w:r>
      <w:r w:rsidR="00D221B6" w:rsidRPr="00BD7E91">
        <w:rPr>
          <w:rFonts w:ascii="Aptos" w:hAnsi="Aptos"/>
          <w:color w:val="000000" w:themeColor="text1"/>
        </w:rPr>
        <w:t>P</w:t>
      </w:r>
      <w:r w:rsidRPr="00BD7E91">
        <w:rPr>
          <w:rFonts w:ascii="Aptos" w:hAnsi="Aptos"/>
          <w:color w:val="000000" w:themeColor="text1"/>
        </w:rPr>
        <w:t xml:space="preserve">aper para 2.1, Education Mitigation Strategy </w:t>
      </w:r>
      <w:r w:rsidR="00C51871" w:rsidRPr="00BD7E91">
        <w:rPr>
          <w:rFonts w:ascii="Aptos" w:hAnsi="Aptos"/>
          <w:color w:val="000000" w:themeColor="text1"/>
        </w:rPr>
        <w:t xml:space="preserve">(1 May 2024) </w:t>
      </w:r>
      <w:r w:rsidRPr="00BD7E91">
        <w:rPr>
          <w:rFonts w:ascii="Aptos" w:hAnsi="Aptos"/>
          <w:color w:val="000000" w:themeColor="text1"/>
        </w:rPr>
        <w:t>at CDA.92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42C"/>
    <w:multiLevelType w:val="hybridMultilevel"/>
    <w:tmpl w:val="996EB8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6865"/>
    <w:multiLevelType w:val="hybridMultilevel"/>
    <w:tmpl w:val="996EB8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33EC6"/>
    <w:multiLevelType w:val="hybridMultilevel"/>
    <w:tmpl w:val="DA8A7954"/>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255EA"/>
    <w:multiLevelType w:val="hybridMultilevel"/>
    <w:tmpl w:val="F97A86DC"/>
    <w:lvl w:ilvl="0" w:tplc="429489C8">
      <w:start w:val="1"/>
      <w:numFmt w:val="decimal"/>
      <w:lvlText w:val="%1."/>
      <w:lvlJc w:val="left"/>
      <w:pPr>
        <w:ind w:left="720" w:hanging="360"/>
      </w:pPr>
      <w:rPr>
        <w:rFonts w:hint="default"/>
        <w:b w:val="0"/>
        <w:bCs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E4DAE"/>
    <w:multiLevelType w:val="hybridMultilevel"/>
    <w:tmpl w:val="89B691C2"/>
    <w:lvl w:ilvl="0" w:tplc="F2DEB6C0">
      <w:start w:val="1"/>
      <w:numFmt w:val="decimal"/>
      <w:lvlText w:val="%1."/>
      <w:lvlJc w:val="left"/>
      <w:pPr>
        <w:ind w:left="720" w:hanging="360"/>
      </w:pPr>
      <w:rPr>
        <w:rFonts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87062"/>
    <w:multiLevelType w:val="hybridMultilevel"/>
    <w:tmpl w:val="C62043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0507F"/>
    <w:multiLevelType w:val="multilevel"/>
    <w:tmpl w:val="E23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A1A92"/>
    <w:multiLevelType w:val="hybridMultilevel"/>
    <w:tmpl w:val="DA8A7954"/>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A7CA1"/>
    <w:multiLevelType w:val="hybridMultilevel"/>
    <w:tmpl w:val="2C7AA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6A018D"/>
    <w:multiLevelType w:val="hybridMultilevel"/>
    <w:tmpl w:val="D5FA676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309EC"/>
    <w:multiLevelType w:val="hybridMultilevel"/>
    <w:tmpl w:val="4AE24608"/>
    <w:lvl w:ilvl="0" w:tplc="A0F0B3C4">
      <w:start w:val="1"/>
      <w:numFmt w:val="decimal"/>
      <w:lvlText w:val="%1."/>
      <w:lvlJc w:val="left"/>
      <w:pPr>
        <w:ind w:left="720" w:hanging="360"/>
      </w:pPr>
      <w:rPr>
        <w:rFonts w:asciiTheme="minorHAnsi" w:hAnsiTheme="minorHAns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52C29"/>
    <w:multiLevelType w:val="hybridMultilevel"/>
    <w:tmpl w:val="C728BDB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16cid:durableId="1647007571">
    <w:abstractNumId w:val="3"/>
  </w:num>
  <w:num w:numId="2" w16cid:durableId="2145273078">
    <w:abstractNumId w:val="5"/>
  </w:num>
  <w:num w:numId="3" w16cid:durableId="524833097">
    <w:abstractNumId w:val="8"/>
  </w:num>
  <w:num w:numId="4" w16cid:durableId="1234124251">
    <w:abstractNumId w:val="6"/>
  </w:num>
  <w:num w:numId="5" w16cid:durableId="261230260">
    <w:abstractNumId w:val="0"/>
  </w:num>
  <w:num w:numId="6" w16cid:durableId="897014526">
    <w:abstractNumId w:val="1"/>
  </w:num>
  <w:num w:numId="7" w16cid:durableId="238179813">
    <w:abstractNumId w:val="4"/>
  </w:num>
  <w:num w:numId="8" w16cid:durableId="236943220">
    <w:abstractNumId w:val="11"/>
  </w:num>
  <w:num w:numId="9" w16cid:durableId="652372017">
    <w:abstractNumId w:val="9"/>
  </w:num>
  <w:num w:numId="10" w16cid:durableId="1525827631">
    <w:abstractNumId w:val="7"/>
  </w:num>
  <w:num w:numId="11" w16cid:durableId="2100172966">
    <w:abstractNumId w:val="2"/>
  </w:num>
  <w:num w:numId="12" w16cid:durableId="377626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5"/>
    <w:rsid w:val="00000AB2"/>
    <w:rsid w:val="00001E3F"/>
    <w:rsid w:val="00010218"/>
    <w:rsid w:val="00011AE7"/>
    <w:rsid w:val="0001727D"/>
    <w:rsid w:val="00020C46"/>
    <w:rsid w:val="00021729"/>
    <w:rsid w:val="00031BAB"/>
    <w:rsid w:val="00036FCE"/>
    <w:rsid w:val="00037E37"/>
    <w:rsid w:val="00037ED3"/>
    <w:rsid w:val="000405D7"/>
    <w:rsid w:val="0004411F"/>
    <w:rsid w:val="00046C79"/>
    <w:rsid w:val="00053A36"/>
    <w:rsid w:val="00055FD3"/>
    <w:rsid w:val="000601E7"/>
    <w:rsid w:val="000707EC"/>
    <w:rsid w:val="00073E3B"/>
    <w:rsid w:val="0007742F"/>
    <w:rsid w:val="0008376B"/>
    <w:rsid w:val="00087F03"/>
    <w:rsid w:val="00094BB0"/>
    <w:rsid w:val="000A4A0C"/>
    <w:rsid w:val="000A63AC"/>
    <w:rsid w:val="000A64AF"/>
    <w:rsid w:val="000A735E"/>
    <w:rsid w:val="000B6B0D"/>
    <w:rsid w:val="000D2A5A"/>
    <w:rsid w:val="000D2F19"/>
    <w:rsid w:val="000D66B0"/>
    <w:rsid w:val="000E4C69"/>
    <w:rsid w:val="000F20B2"/>
    <w:rsid w:val="001011DD"/>
    <w:rsid w:val="001045DC"/>
    <w:rsid w:val="00104753"/>
    <w:rsid w:val="00113227"/>
    <w:rsid w:val="00117BB2"/>
    <w:rsid w:val="00122660"/>
    <w:rsid w:val="0012355F"/>
    <w:rsid w:val="0012404B"/>
    <w:rsid w:val="00124DF9"/>
    <w:rsid w:val="00143C65"/>
    <w:rsid w:val="001464BB"/>
    <w:rsid w:val="001515D1"/>
    <w:rsid w:val="00154E24"/>
    <w:rsid w:val="00165E60"/>
    <w:rsid w:val="00174B6F"/>
    <w:rsid w:val="00176837"/>
    <w:rsid w:val="00176841"/>
    <w:rsid w:val="00182F97"/>
    <w:rsid w:val="001859FB"/>
    <w:rsid w:val="00187C1E"/>
    <w:rsid w:val="00191697"/>
    <w:rsid w:val="00195A76"/>
    <w:rsid w:val="00196AF2"/>
    <w:rsid w:val="001A09DA"/>
    <w:rsid w:val="001A112D"/>
    <w:rsid w:val="001A2949"/>
    <w:rsid w:val="001A2A57"/>
    <w:rsid w:val="001A5E91"/>
    <w:rsid w:val="001B1B40"/>
    <w:rsid w:val="001B4C8D"/>
    <w:rsid w:val="001B5E92"/>
    <w:rsid w:val="001B6618"/>
    <w:rsid w:val="001B73CF"/>
    <w:rsid w:val="001B7CFE"/>
    <w:rsid w:val="001C0C1E"/>
    <w:rsid w:val="001C7065"/>
    <w:rsid w:val="001C75BE"/>
    <w:rsid w:val="001D4F26"/>
    <w:rsid w:val="001D6643"/>
    <w:rsid w:val="001E0A43"/>
    <w:rsid w:val="001E37DF"/>
    <w:rsid w:val="001E3FB5"/>
    <w:rsid w:val="001E586F"/>
    <w:rsid w:val="001E6C83"/>
    <w:rsid w:val="001E7FAD"/>
    <w:rsid w:val="0020627D"/>
    <w:rsid w:val="00210871"/>
    <w:rsid w:val="00214125"/>
    <w:rsid w:val="00214CAB"/>
    <w:rsid w:val="00222213"/>
    <w:rsid w:val="00222C2A"/>
    <w:rsid w:val="002258B0"/>
    <w:rsid w:val="00230519"/>
    <w:rsid w:val="0023397E"/>
    <w:rsid w:val="00233CB3"/>
    <w:rsid w:val="0023657A"/>
    <w:rsid w:val="0023796E"/>
    <w:rsid w:val="00240DEB"/>
    <w:rsid w:val="0024306E"/>
    <w:rsid w:val="002433B5"/>
    <w:rsid w:val="00251A8D"/>
    <w:rsid w:val="0025336E"/>
    <w:rsid w:val="00265C84"/>
    <w:rsid w:val="002717EE"/>
    <w:rsid w:val="00272272"/>
    <w:rsid w:val="00273503"/>
    <w:rsid w:val="002766F2"/>
    <w:rsid w:val="002773D7"/>
    <w:rsid w:val="00280C05"/>
    <w:rsid w:val="00282FCF"/>
    <w:rsid w:val="0028447E"/>
    <w:rsid w:val="0028630A"/>
    <w:rsid w:val="0029235A"/>
    <w:rsid w:val="00294549"/>
    <w:rsid w:val="002946B8"/>
    <w:rsid w:val="002A5F2B"/>
    <w:rsid w:val="002A6192"/>
    <w:rsid w:val="002B10BD"/>
    <w:rsid w:val="002B11F8"/>
    <w:rsid w:val="002B18C3"/>
    <w:rsid w:val="002B39A0"/>
    <w:rsid w:val="002B42DB"/>
    <w:rsid w:val="002B49C7"/>
    <w:rsid w:val="002B61DA"/>
    <w:rsid w:val="002C0895"/>
    <w:rsid w:val="002C209E"/>
    <w:rsid w:val="002C7961"/>
    <w:rsid w:val="002D07A9"/>
    <w:rsid w:val="002D0B50"/>
    <w:rsid w:val="002D583E"/>
    <w:rsid w:val="002E2E9B"/>
    <w:rsid w:val="002E36AC"/>
    <w:rsid w:val="002E633D"/>
    <w:rsid w:val="002E64E3"/>
    <w:rsid w:val="003048F9"/>
    <w:rsid w:val="00310899"/>
    <w:rsid w:val="00312681"/>
    <w:rsid w:val="003369E0"/>
    <w:rsid w:val="00341109"/>
    <w:rsid w:val="00341EB2"/>
    <w:rsid w:val="00350AC0"/>
    <w:rsid w:val="00352B5E"/>
    <w:rsid w:val="003568DB"/>
    <w:rsid w:val="00360B44"/>
    <w:rsid w:val="00362EE6"/>
    <w:rsid w:val="00363568"/>
    <w:rsid w:val="003655B2"/>
    <w:rsid w:val="00365B4C"/>
    <w:rsid w:val="00367131"/>
    <w:rsid w:val="003671AE"/>
    <w:rsid w:val="003702E9"/>
    <w:rsid w:val="00371ADD"/>
    <w:rsid w:val="00374DE0"/>
    <w:rsid w:val="00376F21"/>
    <w:rsid w:val="00377A5B"/>
    <w:rsid w:val="00381091"/>
    <w:rsid w:val="003863E6"/>
    <w:rsid w:val="00390FFA"/>
    <w:rsid w:val="003943CF"/>
    <w:rsid w:val="003A0573"/>
    <w:rsid w:val="003A37D9"/>
    <w:rsid w:val="003C1F89"/>
    <w:rsid w:val="003C3C29"/>
    <w:rsid w:val="003C6C84"/>
    <w:rsid w:val="003D00F3"/>
    <w:rsid w:val="003E56BA"/>
    <w:rsid w:val="003E6B5D"/>
    <w:rsid w:val="003F0405"/>
    <w:rsid w:val="003F6F8E"/>
    <w:rsid w:val="00402E55"/>
    <w:rsid w:val="00403552"/>
    <w:rsid w:val="00404B31"/>
    <w:rsid w:val="00406226"/>
    <w:rsid w:val="00406312"/>
    <w:rsid w:val="00413000"/>
    <w:rsid w:val="0042114F"/>
    <w:rsid w:val="004248EB"/>
    <w:rsid w:val="00430FFB"/>
    <w:rsid w:val="00431247"/>
    <w:rsid w:val="00431A86"/>
    <w:rsid w:val="00432CE7"/>
    <w:rsid w:val="00436A24"/>
    <w:rsid w:val="004376E3"/>
    <w:rsid w:val="00441356"/>
    <w:rsid w:val="004431F5"/>
    <w:rsid w:val="00445445"/>
    <w:rsid w:val="004522EE"/>
    <w:rsid w:val="00463828"/>
    <w:rsid w:val="00464644"/>
    <w:rsid w:val="0046553F"/>
    <w:rsid w:val="004679F0"/>
    <w:rsid w:val="00472707"/>
    <w:rsid w:val="004732C9"/>
    <w:rsid w:val="00476633"/>
    <w:rsid w:val="00476924"/>
    <w:rsid w:val="00487CAF"/>
    <w:rsid w:val="00491A6A"/>
    <w:rsid w:val="00492E93"/>
    <w:rsid w:val="00494EAC"/>
    <w:rsid w:val="004A5F01"/>
    <w:rsid w:val="004A7126"/>
    <w:rsid w:val="004A7C03"/>
    <w:rsid w:val="004B3C87"/>
    <w:rsid w:val="004C1A39"/>
    <w:rsid w:val="004C1C1E"/>
    <w:rsid w:val="004D2245"/>
    <w:rsid w:val="004D3005"/>
    <w:rsid w:val="004D3C0C"/>
    <w:rsid w:val="004E2BC7"/>
    <w:rsid w:val="004E38B3"/>
    <w:rsid w:val="004E5A49"/>
    <w:rsid w:val="004E66AF"/>
    <w:rsid w:val="004E6DC6"/>
    <w:rsid w:val="004F1AA2"/>
    <w:rsid w:val="00501962"/>
    <w:rsid w:val="005064CE"/>
    <w:rsid w:val="0051346B"/>
    <w:rsid w:val="00515F3B"/>
    <w:rsid w:val="00516D93"/>
    <w:rsid w:val="005227F4"/>
    <w:rsid w:val="00537D22"/>
    <w:rsid w:val="00545096"/>
    <w:rsid w:val="00545D0B"/>
    <w:rsid w:val="00551EEE"/>
    <w:rsid w:val="005525B6"/>
    <w:rsid w:val="00554BB6"/>
    <w:rsid w:val="005574EC"/>
    <w:rsid w:val="00564B5F"/>
    <w:rsid w:val="0056680B"/>
    <w:rsid w:val="00573274"/>
    <w:rsid w:val="005802B8"/>
    <w:rsid w:val="005903BF"/>
    <w:rsid w:val="00592E6D"/>
    <w:rsid w:val="00592FBD"/>
    <w:rsid w:val="00594E81"/>
    <w:rsid w:val="00595D44"/>
    <w:rsid w:val="00596755"/>
    <w:rsid w:val="005A11C9"/>
    <w:rsid w:val="005A65C5"/>
    <w:rsid w:val="005B5EDD"/>
    <w:rsid w:val="005C061C"/>
    <w:rsid w:val="005C2008"/>
    <w:rsid w:val="005C32F8"/>
    <w:rsid w:val="005C40FB"/>
    <w:rsid w:val="005D366D"/>
    <w:rsid w:val="005D53D1"/>
    <w:rsid w:val="005E4B03"/>
    <w:rsid w:val="005F11CE"/>
    <w:rsid w:val="005F1595"/>
    <w:rsid w:val="005F3C5D"/>
    <w:rsid w:val="005F64EE"/>
    <w:rsid w:val="005F7B5D"/>
    <w:rsid w:val="006015D2"/>
    <w:rsid w:val="006038F1"/>
    <w:rsid w:val="006050A9"/>
    <w:rsid w:val="00605138"/>
    <w:rsid w:val="00614FCE"/>
    <w:rsid w:val="0061794E"/>
    <w:rsid w:val="006206B2"/>
    <w:rsid w:val="00621D4C"/>
    <w:rsid w:val="00622483"/>
    <w:rsid w:val="00630AF6"/>
    <w:rsid w:val="00631001"/>
    <w:rsid w:val="006331B0"/>
    <w:rsid w:val="00644626"/>
    <w:rsid w:val="00645674"/>
    <w:rsid w:val="006536E2"/>
    <w:rsid w:val="006559C9"/>
    <w:rsid w:val="00663DE4"/>
    <w:rsid w:val="006666EC"/>
    <w:rsid w:val="00666F46"/>
    <w:rsid w:val="00670176"/>
    <w:rsid w:val="0067455E"/>
    <w:rsid w:val="00681BB2"/>
    <w:rsid w:val="006824C9"/>
    <w:rsid w:val="00685819"/>
    <w:rsid w:val="00686C28"/>
    <w:rsid w:val="00693CDE"/>
    <w:rsid w:val="006943B7"/>
    <w:rsid w:val="006A0F64"/>
    <w:rsid w:val="006A1C1B"/>
    <w:rsid w:val="006A34BF"/>
    <w:rsid w:val="006A5041"/>
    <w:rsid w:val="006B1E60"/>
    <w:rsid w:val="006C0C32"/>
    <w:rsid w:val="006C1E1F"/>
    <w:rsid w:val="006C1F18"/>
    <w:rsid w:val="006C1FB3"/>
    <w:rsid w:val="006C6C1C"/>
    <w:rsid w:val="006C7DCE"/>
    <w:rsid w:val="006D649A"/>
    <w:rsid w:val="006D6A11"/>
    <w:rsid w:val="006D7E19"/>
    <w:rsid w:val="006E3A01"/>
    <w:rsid w:val="006E5B06"/>
    <w:rsid w:val="006E6EA2"/>
    <w:rsid w:val="006F17DE"/>
    <w:rsid w:val="006F2385"/>
    <w:rsid w:val="006F29F4"/>
    <w:rsid w:val="006F3AF1"/>
    <w:rsid w:val="006F7720"/>
    <w:rsid w:val="00701477"/>
    <w:rsid w:val="0070486B"/>
    <w:rsid w:val="00710B47"/>
    <w:rsid w:val="00710BA2"/>
    <w:rsid w:val="00711584"/>
    <w:rsid w:val="0071178E"/>
    <w:rsid w:val="00711C65"/>
    <w:rsid w:val="00715918"/>
    <w:rsid w:val="007212AC"/>
    <w:rsid w:val="00726732"/>
    <w:rsid w:val="0073035B"/>
    <w:rsid w:val="00730644"/>
    <w:rsid w:val="00731D18"/>
    <w:rsid w:val="007351A7"/>
    <w:rsid w:val="00743467"/>
    <w:rsid w:val="00754562"/>
    <w:rsid w:val="00754F1C"/>
    <w:rsid w:val="00755A1D"/>
    <w:rsid w:val="00774AC0"/>
    <w:rsid w:val="007768A1"/>
    <w:rsid w:val="007771B0"/>
    <w:rsid w:val="00784265"/>
    <w:rsid w:val="00797D25"/>
    <w:rsid w:val="007A64DD"/>
    <w:rsid w:val="007A76DA"/>
    <w:rsid w:val="007B0320"/>
    <w:rsid w:val="007B1360"/>
    <w:rsid w:val="007B20B7"/>
    <w:rsid w:val="007C305F"/>
    <w:rsid w:val="007C30D8"/>
    <w:rsid w:val="007C573D"/>
    <w:rsid w:val="007C6E5A"/>
    <w:rsid w:val="007E3B62"/>
    <w:rsid w:val="007E5BBC"/>
    <w:rsid w:val="007F05EB"/>
    <w:rsid w:val="007F16FA"/>
    <w:rsid w:val="007F17F9"/>
    <w:rsid w:val="007F1BC3"/>
    <w:rsid w:val="007F5F82"/>
    <w:rsid w:val="007F66B6"/>
    <w:rsid w:val="0080027E"/>
    <w:rsid w:val="008025D2"/>
    <w:rsid w:val="00803D6A"/>
    <w:rsid w:val="00813B4D"/>
    <w:rsid w:val="00814735"/>
    <w:rsid w:val="00817D57"/>
    <w:rsid w:val="00821559"/>
    <w:rsid w:val="00823401"/>
    <w:rsid w:val="00824214"/>
    <w:rsid w:val="008255E8"/>
    <w:rsid w:val="0083053C"/>
    <w:rsid w:val="00836079"/>
    <w:rsid w:val="00845D41"/>
    <w:rsid w:val="008501C4"/>
    <w:rsid w:val="008546D3"/>
    <w:rsid w:val="00857122"/>
    <w:rsid w:val="00861349"/>
    <w:rsid w:val="0086398E"/>
    <w:rsid w:val="00873D00"/>
    <w:rsid w:val="0087556C"/>
    <w:rsid w:val="00880D62"/>
    <w:rsid w:val="008832B3"/>
    <w:rsid w:val="00886156"/>
    <w:rsid w:val="008917EC"/>
    <w:rsid w:val="0089787C"/>
    <w:rsid w:val="008A03E4"/>
    <w:rsid w:val="008A0FFE"/>
    <w:rsid w:val="008A117D"/>
    <w:rsid w:val="008A12C7"/>
    <w:rsid w:val="008A6F4C"/>
    <w:rsid w:val="008B4374"/>
    <w:rsid w:val="008B46A2"/>
    <w:rsid w:val="008B6C79"/>
    <w:rsid w:val="008D2E11"/>
    <w:rsid w:val="008D2EC0"/>
    <w:rsid w:val="008D341A"/>
    <w:rsid w:val="008D4276"/>
    <w:rsid w:val="008D65C7"/>
    <w:rsid w:val="008E0795"/>
    <w:rsid w:val="008E685F"/>
    <w:rsid w:val="008F0E3F"/>
    <w:rsid w:val="008F128B"/>
    <w:rsid w:val="008F2662"/>
    <w:rsid w:val="008F3047"/>
    <w:rsid w:val="008F6710"/>
    <w:rsid w:val="009000AF"/>
    <w:rsid w:val="009003D2"/>
    <w:rsid w:val="00901445"/>
    <w:rsid w:val="00901ADF"/>
    <w:rsid w:val="009047DF"/>
    <w:rsid w:val="00904D37"/>
    <w:rsid w:val="00906169"/>
    <w:rsid w:val="00906C39"/>
    <w:rsid w:val="00910AC4"/>
    <w:rsid w:val="00917F9C"/>
    <w:rsid w:val="0092232F"/>
    <w:rsid w:val="0094223A"/>
    <w:rsid w:val="00947597"/>
    <w:rsid w:val="00953323"/>
    <w:rsid w:val="00957097"/>
    <w:rsid w:val="009613D8"/>
    <w:rsid w:val="00964A2B"/>
    <w:rsid w:val="009701D5"/>
    <w:rsid w:val="00975A91"/>
    <w:rsid w:val="00984CC1"/>
    <w:rsid w:val="009873BE"/>
    <w:rsid w:val="00990B5F"/>
    <w:rsid w:val="009A0899"/>
    <w:rsid w:val="009A1318"/>
    <w:rsid w:val="009A3088"/>
    <w:rsid w:val="009A3E64"/>
    <w:rsid w:val="009A5C8C"/>
    <w:rsid w:val="009B150B"/>
    <w:rsid w:val="009B5807"/>
    <w:rsid w:val="009B723F"/>
    <w:rsid w:val="009C30B8"/>
    <w:rsid w:val="009C5710"/>
    <w:rsid w:val="009C75EB"/>
    <w:rsid w:val="009D01A9"/>
    <w:rsid w:val="009D121F"/>
    <w:rsid w:val="009D3AC5"/>
    <w:rsid w:val="009D743B"/>
    <w:rsid w:val="009E1658"/>
    <w:rsid w:val="009E1C17"/>
    <w:rsid w:val="009E3589"/>
    <w:rsid w:val="009E4D43"/>
    <w:rsid w:val="009E6679"/>
    <w:rsid w:val="009F15D6"/>
    <w:rsid w:val="00A06ACF"/>
    <w:rsid w:val="00A06D2D"/>
    <w:rsid w:val="00A11DAA"/>
    <w:rsid w:val="00A20A10"/>
    <w:rsid w:val="00A22007"/>
    <w:rsid w:val="00A2438C"/>
    <w:rsid w:val="00A2678D"/>
    <w:rsid w:val="00A26960"/>
    <w:rsid w:val="00A26A96"/>
    <w:rsid w:val="00A3129F"/>
    <w:rsid w:val="00A377AF"/>
    <w:rsid w:val="00A452CC"/>
    <w:rsid w:val="00A46BE0"/>
    <w:rsid w:val="00A501A8"/>
    <w:rsid w:val="00A501AC"/>
    <w:rsid w:val="00A52D17"/>
    <w:rsid w:val="00A52E01"/>
    <w:rsid w:val="00A546AC"/>
    <w:rsid w:val="00A56E85"/>
    <w:rsid w:val="00A570EE"/>
    <w:rsid w:val="00A62579"/>
    <w:rsid w:val="00A63AF1"/>
    <w:rsid w:val="00A7281D"/>
    <w:rsid w:val="00A73DC7"/>
    <w:rsid w:val="00A7643C"/>
    <w:rsid w:val="00A8767C"/>
    <w:rsid w:val="00A90021"/>
    <w:rsid w:val="00A963BD"/>
    <w:rsid w:val="00A97315"/>
    <w:rsid w:val="00A97A1F"/>
    <w:rsid w:val="00AA0D65"/>
    <w:rsid w:val="00AA1A5B"/>
    <w:rsid w:val="00AA1C43"/>
    <w:rsid w:val="00AB644A"/>
    <w:rsid w:val="00AC0C86"/>
    <w:rsid w:val="00AD14A8"/>
    <w:rsid w:val="00AD49DB"/>
    <w:rsid w:val="00AE0913"/>
    <w:rsid w:val="00AE19C3"/>
    <w:rsid w:val="00AF3E0F"/>
    <w:rsid w:val="00AF4D25"/>
    <w:rsid w:val="00AF7D4B"/>
    <w:rsid w:val="00B02392"/>
    <w:rsid w:val="00B041D5"/>
    <w:rsid w:val="00B10851"/>
    <w:rsid w:val="00B22580"/>
    <w:rsid w:val="00B25803"/>
    <w:rsid w:val="00B27D6B"/>
    <w:rsid w:val="00B31DBB"/>
    <w:rsid w:val="00B44CDD"/>
    <w:rsid w:val="00B47838"/>
    <w:rsid w:val="00B528DF"/>
    <w:rsid w:val="00B5370C"/>
    <w:rsid w:val="00B54115"/>
    <w:rsid w:val="00B55F3F"/>
    <w:rsid w:val="00B60A70"/>
    <w:rsid w:val="00B66B39"/>
    <w:rsid w:val="00B676DF"/>
    <w:rsid w:val="00B67CD9"/>
    <w:rsid w:val="00B7352B"/>
    <w:rsid w:val="00B73581"/>
    <w:rsid w:val="00B737BB"/>
    <w:rsid w:val="00B8799A"/>
    <w:rsid w:val="00B92466"/>
    <w:rsid w:val="00B948DC"/>
    <w:rsid w:val="00BA0081"/>
    <w:rsid w:val="00BA11B6"/>
    <w:rsid w:val="00BA2023"/>
    <w:rsid w:val="00BA227E"/>
    <w:rsid w:val="00BA2774"/>
    <w:rsid w:val="00BA47EB"/>
    <w:rsid w:val="00BA541E"/>
    <w:rsid w:val="00BA5662"/>
    <w:rsid w:val="00BA5EE1"/>
    <w:rsid w:val="00BA6CE4"/>
    <w:rsid w:val="00BB1883"/>
    <w:rsid w:val="00BB5C92"/>
    <w:rsid w:val="00BC0221"/>
    <w:rsid w:val="00BC3D8A"/>
    <w:rsid w:val="00BC4DD8"/>
    <w:rsid w:val="00BC5023"/>
    <w:rsid w:val="00BD29E5"/>
    <w:rsid w:val="00BD76BB"/>
    <w:rsid w:val="00BD7E91"/>
    <w:rsid w:val="00BE0476"/>
    <w:rsid w:val="00BE0F0D"/>
    <w:rsid w:val="00BE30E0"/>
    <w:rsid w:val="00BE5E20"/>
    <w:rsid w:val="00BE76DA"/>
    <w:rsid w:val="00BF000F"/>
    <w:rsid w:val="00BF0AFE"/>
    <w:rsid w:val="00BF13F3"/>
    <w:rsid w:val="00BF17F9"/>
    <w:rsid w:val="00BF604E"/>
    <w:rsid w:val="00C13E28"/>
    <w:rsid w:val="00C13FE3"/>
    <w:rsid w:val="00C17452"/>
    <w:rsid w:val="00C223F6"/>
    <w:rsid w:val="00C237CB"/>
    <w:rsid w:val="00C25146"/>
    <w:rsid w:val="00C252FE"/>
    <w:rsid w:val="00C3213B"/>
    <w:rsid w:val="00C36516"/>
    <w:rsid w:val="00C3692E"/>
    <w:rsid w:val="00C421FA"/>
    <w:rsid w:val="00C51871"/>
    <w:rsid w:val="00C5719F"/>
    <w:rsid w:val="00C630CC"/>
    <w:rsid w:val="00C647E1"/>
    <w:rsid w:val="00C7016B"/>
    <w:rsid w:val="00C75CDA"/>
    <w:rsid w:val="00C771C8"/>
    <w:rsid w:val="00C81BB9"/>
    <w:rsid w:val="00C90B6C"/>
    <w:rsid w:val="00C93848"/>
    <w:rsid w:val="00C96456"/>
    <w:rsid w:val="00CA339E"/>
    <w:rsid w:val="00CA4674"/>
    <w:rsid w:val="00CA532D"/>
    <w:rsid w:val="00CA707B"/>
    <w:rsid w:val="00CB16F6"/>
    <w:rsid w:val="00CB5C30"/>
    <w:rsid w:val="00CC0AEF"/>
    <w:rsid w:val="00CC16B0"/>
    <w:rsid w:val="00CC1922"/>
    <w:rsid w:val="00CC1DAD"/>
    <w:rsid w:val="00CC3B44"/>
    <w:rsid w:val="00CC3C46"/>
    <w:rsid w:val="00CC6D06"/>
    <w:rsid w:val="00CC6E55"/>
    <w:rsid w:val="00CD17EA"/>
    <w:rsid w:val="00CD58E8"/>
    <w:rsid w:val="00CE7350"/>
    <w:rsid w:val="00CF0E9D"/>
    <w:rsid w:val="00CF5554"/>
    <w:rsid w:val="00D00E5E"/>
    <w:rsid w:val="00D05B36"/>
    <w:rsid w:val="00D076F9"/>
    <w:rsid w:val="00D07786"/>
    <w:rsid w:val="00D1164B"/>
    <w:rsid w:val="00D11EC7"/>
    <w:rsid w:val="00D158D3"/>
    <w:rsid w:val="00D15C5B"/>
    <w:rsid w:val="00D221B6"/>
    <w:rsid w:val="00D2440B"/>
    <w:rsid w:val="00D33B9D"/>
    <w:rsid w:val="00D35DC6"/>
    <w:rsid w:val="00D35EAB"/>
    <w:rsid w:val="00D363B2"/>
    <w:rsid w:val="00D450B6"/>
    <w:rsid w:val="00D51019"/>
    <w:rsid w:val="00D53232"/>
    <w:rsid w:val="00D54C18"/>
    <w:rsid w:val="00D57ADC"/>
    <w:rsid w:val="00D64F34"/>
    <w:rsid w:val="00D713EC"/>
    <w:rsid w:val="00D73971"/>
    <w:rsid w:val="00D73CA1"/>
    <w:rsid w:val="00D73DDE"/>
    <w:rsid w:val="00D74E21"/>
    <w:rsid w:val="00D81ACB"/>
    <w:rsid w:val="00D81C4D"/>
    <w:rsid w:val="00DA4B3D"/>
    <w:rsid w:val="00DA5469"/>
    <w:rsid w:val="00DB4B6E"/>
    <w:rsid w:val="00DB5274"/>
    <w:rsid w:val="00DB7133"/>
    <w:rsid w:val="00DC5EF3"/>
    <w:rsid w:val="00DC65EA"/>
    <w:rsid w:val="00DD5FED"/>
    <w:rsid w:val="00DD6644"/>
    <w:rsid w:val="00DE11D6"/>
    <w:rsid w:val="00DE19C6"/>
    <w:rsid w:val="00DE4FFB"/>
    <w:rsid w:val="00DE6978"/>
    <w:rsid w:val="00DF0B95"/>
    <w:rsid w:val="00DF6D24"/>
    <w:rsid w:val="00DF70FC"/>
    <w:rsid w:val="00E00014"/>
    <w:rsid w:val="00E00E21"/>
    <w:rsid w:val="00E01C28"/>
    <w:rsid w:val="00E03AAB"/>
    <w:rsid w:val="00E03D2C"/>
    <w:rsid w:val="00E05B94"/>
    <w:rsid w:val="00E06E5A"/>
    <w:rsid w:val="00E07438"/>
    <w:rsid w:val="00E108BE"/>
    <w:rsid w:val="00E10C1B"/>
    <w:rsid w:val="00E10E8A"/>
    <w:rsid w:val="00E23D29"/>
    <w:rsid w:val="00E24A90"/>
    <w:rsid w:val="00E273DA"/>
    <w:rsid w:val="00E33BE3"/>
    <w:rsid w:val="00E37806"/>
    <w:rsid w:val="00E44229"/>
    <w:rsid w:val="00E472C2"/>
    <w:rsid w:val="00E51236"/>
    <w:rsid w:val="00E57034"/>
    <w:rsid w:val="00E66492"/>
    <w:rsid w:val="00E72C57"/>
    <w:rsid w:val="00E819E2"/>
    <w:rsid w:val="00E840CB"/>
    <w:rsid w:val="00E85A69"/>
    <w:rsid w:val="00E9010D"/>
    <w:rsid w:val="00EA1FFF"/>
    <w:rsid w:val="00EA2ECD"/>
    <w:rsid w:val="00EA3F4A"/>
    <w:rsid w:val="00EB31BC"/>
    <w:rsid w:val="00EB41E1"/>
    <w:rsid w:val="00EB750E"/>
    <w:rsid w:val="00EC071B"/>
    <w:rsid w:val="00EC1537"/>
    <w:rsid w:val="00EC668F"/>
    <w:rsid w:val="00EE0688"/>
    <w:rsid w:val="00EE423E"/>
    <w:rsid w:val="00EF3944"/>
    <w:rsid w:val="00EF73F9"/>
    <w:rsid w:val="00F056C7"/>
    <w:rsid w:val="00F07B7A"/>
    <w:rsid w:val="00F108B1"/>
    <w:rsid w:val="00F16BF1"/>
    <w:rsid w:val="00F214E8"/>
    <w:rsid w:val="00F3015D"/>
    <w:rsid w:val="00F36B06"/>
    <w:rsid w:val="00F408D4"/>
    <w:rsid w:val="00F44728"/>
    <w:rsid w:val="00F510F8"/>
    <w:rsid w:val="00F518B1"/>
    <w:rsid w:val="00F54B3B"/>
    <w:rsid w:val="00F60C32"/>
    <w:rsid w:val="00F62224"/>
    <w:rsid w:val="00F67906"/>
    <w:rsid w:val="00F70865"/>
    <w:rsid w:val="00F73CA9"/>
    <w:rsid w:val="00F85B77"/>
    <w:rsid w:val="00F903E1"/>
    <w:rsid w:val="00F919C2"/>
    <w:rsid w:val="00F94020"/>
    <w:rsid w:val="00F967AE"/>
    <w:rsid w:val="00F96950"/>
    <w:rsid w:val="00FA018B"/>
    <w:rsid w:val="00FA0484"/>
    <w:rsid w:val="00FA7ACA"/>
    <w:rsid w:val="00FB04FC"/>
    <w:rsid w:val="00FB4F73"/>
    <w:rsid w:val="00FB622A"/>
    <w:rsid w:val="00FC0888"/>
    <w:rsid w:val="00FC5FA9"/>
    <w:rsid w:val="00FC6911"/>
    <w:rsid w:val="00FC7141"/>
    <w:rsid w:val="00FD01C5"/>
    <w:rsid w:val="00FD0CD0"/>
    <w:rsid w:val="00FD25C4"/>
    <w:rsid w:val="00FD6F1A"/>
    <w:rsid w:val="00FE1658"/>
    <w:rsid w:val="00FE2F54"/>
    <w:rsid w:val="00FE4C5D"/>
    <w:rsid w:val="00FE5EF7"/>
    <w:rsid w:val="00FF2AF9"/>
    <w:rsid w:val="00FF5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F8EFC7"/>
  <w15:chartTrackingRefBased/>
  <w15:docId w15:val="{5014C77D-1705-DC41-9B36-D908B112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A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9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D25"/>
    <w:rPr>
      <w:rFonts w:eastAsiaTheme="majorEastAsia" w:cstheme="majorBidi"/>
      <w:color w:val="272727" w:themeColor="text1" w:themeTint="D8"/>
    </w:rPr>
  </w:style>
  <w:style w:type="paragraph" w:styleId="Title">
    <w:name w:val="Title"/>
    <w:basedOn w:val="Normal"/>
    <w:next w:val="Normal"/>
    <w:link w:val="TitleChar"/>
    <w:uiPriority w:val="10"/>
    <w:qFormat/>
    <w:rsid w:val="00797D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D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D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D25"/>
    <w:rPr>
      <w:i/>
      <w:iCs/>
      <w:color w:val="404040" w:themeColor="text1" w:themeTint="BF"/>
    </w:rPr>
  </w:style>
  <w:style w:type="paragraph" w:styleId="ListParagraph">
    <w:name w:val="List Paragraph"/>
    <w:basedOn w:val="Normal"/>
    <w:uiPriority w:val="34"/>
    <w:qFormat/>
    <w:rsid w:val="00797D25"/>
    <w:pPr>
      <w:ind w:left="720"/>
      <w:contextualSpacing/>
    </w:pPr>
  </w:style>
  <w:style w:type="character" w:styleId="IntenseEmphasis">
    <w:name w:val="Intense Emphasis"/>
    <w:basedOn w:val="DefaultParagraphFont"/>
    <w:uiPriority w:val="21"/>
    <w:qFormat/>
    <w:rsid w:val="00797D25"/>
    <w:rPr>
      <w:i/>
      <w:iCs/>
      <w:color w:val="0F4761" w:themeColor="accent1" w:themeShade="BF"/>
    </w:rPr>
  </w:style>
  <w:style w:type="paragraph" w:styleId="IntenseQuote">
    <w:name w:val="Intense Quote"/>
    <w:basedOn w:val="Normal"/>
    <w:next w:val="Normal"/>
    <w:link w:val="IntenseQuoteChar"/>
    <w:uiPriority w:val="30"/>
    <w:qFormat/>
    <w:rsid w:val="0079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D25"/>
    <w:rPr>
      <w:i/>
      <w:iCs/>
      <w:color w:val="0F4761" w:themeColor="accent1" w:themeShade="BF"/>
    </w:rPr>
  </w:style>
  <w:style w:type="character" w:styleId="IntenseReference">
    <w:name w:val="Intense Reference"/>
    <w:basedOn w:val="DefaultParagraphFont"/>
    <w:uiPriority w:val="32"/>
    <w:qFormat/>
    <w:rsid w:val="00797D25"/>
    <w:rPr>
      <w:b/>
      <w:bCs/>
      <w:smallCaps/>
      <w:color w:val="0F4761" w:themeColor="accent1" w:themeShade="BF"/>
      <w:spacing w:val="5"/>
    </w:rPr>
  </w:style>
  <w:style w:type="character" w:customStyle="1" w:styleId="apple-converted-space">
    <w:name w:val="apple-converted-space"/>
    <w:basedOn w:val="DefaultParagraphFont"/>
    <w:rsid w:val="002D583E"/>
  </w:style>
  <w:style w:type="paragraph" w:styleId="FootnoteText">
    <w:name w:val="footnote text"/>
    <w:basedOn w:val="Normal"/>
    <w:link w:val="FootnoteTextChar"/>
    <w:uiPriority w:val="99"/>
    <w:semiHidden/>
    <w:unhideWhenUsed/>
    <w:rsid w:val="00E819E2"/>
    <w:rPr>
      <w:sz w:val="20"/>
      <w:szCs w:val="20"/>
    </w:rPr>
  </w:style>
  <w:style w:type="character" w:customStyle="1" w:styleId="FootnoteTextChar">
    <w:name w:val="Footnote Text Char"/>
    <w:basedOn w:val="DefaultParagraphFont"/>
    <w:link w:val="FootnoteText"/>
    <w:uiPriority w:val="99"/>
    <w:semiHidden/>
    <w:rsid w:val="00E819E2"/>
    <w:rPr>
      <w:sz w:val="20"/>
      <w:szCs w:val="20"/>
    </w:rPr>
  </w:style>
  <w:style w:type="character" w:styleId="FootnoteReference">
    <w:name w:val="footnote reference"/>
    <w:basedOn w:val="DefaultParagraphFont"/>
    <w:uiPriority w:val="99"/>
    <w:semiHidden/>
    <w:unhideWhenUsed/>
    <w:rsid w:val="00E819E2"/>
    <w:rPr>
      <w:vertAlign w:val="superscript"/>
    </w:rPr>
  </w:style>
  <w:style w:type="character" w:styleId="CommentReference">
    <w:name w:val="annotation reference"/>
    <w:basedOn w:val="DefaultParagraphFont"/>
    <w:uiPriority w:val="99"/>
    <w:semiHidden/>
    <w:unhideWhenUsed/>
    <w:rsid w:val="004A5F01"/>
    <w:rPr>
      <w:sz w:val="16"/>
      <w:szCs w:val="16"/>
    </w:rPr>
  </w:style>
  <w:style w:type="paragraph" w:styleId="CommentText">
    <w:name w:val="annotation text"/>
    <w:basedOn w:val="Normal"/>
    <w:link w:val="CommentTextChar"/>
    <w:uiPriority w:val="99"/>
    <w:semiHidden/>
    <w:unhideWhenUsed/>
    <w:rsid w:val="004A5F01"/>
    <w:rPr>
      <w:sz w:val="20"/>
      <w:szCs w:val="20"/>
    </w:rPr>
  </w:style>
  <w:style w:type="character" w:customStyle="1" w:styleId="CommentTextChar">
    <w:name w:val="Comment Text Char"/>
    <w:basedOn w:val="DefaultParagraphFont"/>
    <w:link w:val="CommentText"/>
    <w:uiPriority w:val="99"/>
    <w:semiHidden/>
    <w:rsid w:val="004A5F01"/>
    <w:rPr>
      <w:sz w:val="20"/>
      <w:szCs w:val="20"/>
    </w:rPr>
  </w:style>
  <w:style w:type="paragraph" w:styleId="CommentSubject">
    <w:name w:val="annotation subject"/>
    <w:basedOn w:val="CommentText"/>
    <w:next w:val="CommentText"/>
    <w:link w:val="CommentSubjectChar"/>
    <w:uiPriority w:val="99"/>
    <w:semiHidden/>
    <w:unhideWhenUsed/>
    <w:rsid w:val="004A5F01"/>
    <w:rPr>
      <w:b/>
      <w:bCs/>
    </w:rPr>
  </w:style>
  <w:style w:type="character" w:customStyle="1" w:styleId="CommentSubjectChar">
    <w:name w:val="Comment Subject Char"/>
    <w:basedOn w:val="CommentTextChar"/>
    <w:link w:val="CommentSubject"/>
    <w:uiPriority w:val="99"/>
    <w:semiHidden/>
    <w:rsid w:val="004A5F01"/>
    <w:rPr>
      <w:b/>
      <w:bCs/>
      <w:sz w:val="20"/>
      <w:szCs w:val="20"/>
    </w:rPr>
  </w:style>
  <w:style w:type="character" w:styleId="Hyperlink">
    <w:name w:val="Hyperlink"/>
    <w:basedOn w:val="DefaultParagraphFont"/>
    <w:uiPriority w:val="99"/>
    <w:unhideWhenUsed/>
    <w:rsid w:val="00F96950"/>
    <w:rPr>
      <w:color w:val="0000FF"/>
      <w:u w:val="single"/>
    </w:rPr>
  </w:style>
  <w:style w:type="character" w:styleId="UnresolvedMention">
    <w:name w:val="Unresolved Mention"/>
    <w:basedOn w:val="DefaultParagraphFont"/>
    <w:uiPriority w:val="99"/>
    <w:semiHidden/>
    <w:unhideWhenUsed/>
    <w:rsid w:val="00906C39"/>
    <w:rPr>
      <w:color w:val="605E5C"/>
      <w:shd w:val="clear" w:color="auto" w:fill="E1DFDD"/>
    </w:rPr>
  </w:style>
  <w:style w:type="paragraph" w:styleId="Footer">
    <w:name w:val="footer"/>
    <w:basedOn w:val="Normal"/>
    <w:link w:val="FooterChar"/>
    <w:uiPriority w:val="99"/>
    <w:unhideWhenUsed/>
    <w:rsid w:val="00A377AF"/>
    <w:pPr>
      <w:tabs>
        <w:tab w:val="center" w:pos="4513"/>
        <w:tab w:val="right" w:pos="9026"/>
      </w:tabs>
    </w:pPr>
  </w:style>
  <w:style w:type="character" w:customStyle="1" w:styleId="FooterChar">
    <w:name w:val="Footer Char"/>
    <w:basedOn w:val="DefaultParagraphFont"/>
    <w:link w:val="Footer"/>
    <w:uiPriority w:val="99"/>
    <w:rsid w:val="00A377AF"/>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A377AF"/>
  </w:style>
  <w:style w:type="paragraph" w:styleId="Revision">
    <w:name w:val="Revision"/>
    <w:hidden/>
    <w:uiPriority w:val="99"/>
    <w:semiHidden/>
    <w:rsid w:val="00445445"/>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445445"/>
    <w:pPr>
      <w:spacing w:before="100" w:beforeAutospacing="1" w:after="100" w:afterAutospacing="1"/>
    </w:pPr>
  </w:style>
  <w:style w:type="paragraph" w:styleId="Header">
    <w:name w:val="header"/>
    <w:basedOn w:val="Normal"/>
    <w:link w:val="HeaderChar"/>
    <w:uiPriority w:val="99"/>
    <w:unhideWhenUsed/>
    <w:rsid w:val="002A5F2B"/>
    <w:pPr>
      <w:tabs>
        <w:tab w:val="center" w:pos="4513"/>
        <w:tab w:val="right" w:pos="9026"/>
      </w:tabs>
    </w:pPr>
  </w:style>
  <w:style w:type="character" w:customStyle="1" w:styleId="HeaderChar">
    <w:name w:val="Header Char"/>
    <w:basedOn w:val="DefaultParagraphFont"/>
    <w:link w:val="Header"/>
    <w:uiPriority w:val="99"/>
    <w:rsid w:val="002A5F2B"/>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93845">
      <w:bodyDiv w:val="1"/>
      <w:marLeft w:val="0"/>
      <w:marRight w:val="0"/>
      <w:marTop w:val="0"/>
      <w:marBottom w:val="0"/>
      <w:divBdr>
        <w:top w:val="none" w:sz="0" w:space="0" w:color="auto"/>
        <w:left w:val="none" w:sz="0" w:space="0" w:color="auto"/>
        <w:bottom w:val="none" w:sz="0" w:space="0" w:color="auto"/>
        <w:right w:val="none" w:sz="0" w:space="0" w:color="auto"/>
      </w:divBdr>
      <w:divsChild>
        <w:div w:id="1265772135">
          <w:marLeft w:val="0"/>
          <w:marRight w:val="0"/>
          <w:marTop w:val="0"/>
          <w:marBottom w:val="0"/>
          <w:divBdr>
            <w:top w:val="none" w:sz="0" w:space="0" w:color="auto"/>
            <w:left w:val="none" w:sz="0" w:space="0" w:color="auto"/>
            <w:bottom w:val="none" w:sz="0" w:space="0" w:color="auto"/>
            <w:right w:val="none" w:sz="0" w:space="0" w:color="auto"/>
          </w:divBdr>
          <w:divsChild>
            <w:div w:id="1624001320">
              <w:marLeft w:val="0"/>
              <w:marRight w:val="0"/>
              <w:marTop w:val="0"/>
              <w:marBottom w:val="0"/>
              <w:divBdr>
                <w:top w:val="none" w:sz="0" w:space="0" w:color="auto"/>
                <w:left w:val="none" w:sz="0" w:space="0" w:color="auto"/>
                <w:bottom w:val="none" w:sz="0" w:space="0" w:color="auto"/>
                <w:right w:val="none" w:sz="0" w:space="0" w:color="auto"/>
              </w:divBdr>
              <w:divsChild>
                <w:div w:id="602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7170">
      <w:bodyDiv w:val="1"/>
      <w:marLeft w:val="0"/>
      <w:marRight w:val="0"/>
      <w:marTop w:val="0"/>
      <w:marBottom w:val="0"/>
      <w:divBdr>
        <w:top w:val="none" w:sz="0" w:space="0" w:color="auto"/>
        <w:left w:val="none" w:sz="0" w:space="0" w:color="auto"/>
        <w:bottom w:val="none" w:sz="0" w:space="0" w:color="auto"/>
        <w:right w:val="none" w:sz="0" w:space="0" w:color="auto"/>
      </w:divBdr>
    </w:div>
    <w:div w:id="2017271834">
      <w:bodyDiv w:val="1"/>
      <w:marLeft w:val="0"/>
      <w:marRight w:val="0"/>
      <w:marTop w:val="0"/>
      <w:marBottom w:val="0"/>
      <w:divBdr>
        <w:top w:val="none" w:sz="0" w:space="0" w:color="auto"/>
        <w:left w:val="none" w:sz="0" w:space="0" w:color="auto"/>
        <w:bottom w:val="none" w:sz="0" w:space="0" w:color="auto"/>
        <w:right w:val="none" w:sz="0" w:space="0" w:color="auto"/>
      </w:divBdr>
      <w:divsChild>
        <w:div w:id="1291933476">
          <w:marLeft w:val="0"/>
          <w:marRight w:val="0"/>
          <w:marTop w:val="0"/>
          <w:marBottom w:val="0"/>
          <w:divBdr>
            <w:top w:val="none" w:sz="0" w:space="0" w:color="auto"/>
            <w:left w:val="none" w:sz="0" w:space="0" w:color="auto"/>
            <w:bottom w:val="none" w:sz="0" w:space="0" w:color="auto"/>
            <w:right w:val="none" w:sz="0" w:space="0" w:color="auto"/>
          </w:divBdr>
        </w:div>
        <w:div w:id="106005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9219-A627-B345-92ED-28A9DF1F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Grant</dc:creator>
  <cp:keywords/>
  <dc:description/>
  <cp:lastModifiedBy>Melissa Murphy KC</cp:lastModifiedBy>
  <cp:revision>2</cp:revision>
  <dcterms:created xsi:type="dcterms:W3CDTF">2024-06-25T08:17:00Z</dcterms:created>
  <dcterms:modified xsi:type="dcterms:W3CDTF">2024-06-25T08:17:00Z</dcterms:modified>
</cp:coreProperties>
</file>